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378B4" w:rsidP="002378B4" w:rsidRDefault="002378B4" w14:paraId="6CCE62A9" w14:textId="77777777">
      <w:pPr>
        <w:pStyle w:val="Heading1"/>
        <w:rPr>
          <w:b/>
        </w:rPr>
      </w:pPr>
      <w:r>
        <w:rPr>
          <w:noProof/>
        </w:rPr>
        <w:drawing>
          <wp:inline distT="0" distB="0" distL="0" distR="0" wp14:anchorId="57BE405F" wp14:editId="38B865F0">
            <wp:extent cx="1162050" cy="1162050"/>
            <wp:effectExtent l="0" t="0" r="0" b="0"/>
            <wp:docPr id="2" name="Picture 2" descr="The Sixth Form Bolton (@thesixthformB6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ixth Form Bolton (@thesixthformB6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22" w:rsidP="002378B4" w:rsidRDefault="00DC3DA9" w14:paraId="61A69A77" w14:textId="164A6AF0">
      <w:pPr>
        <w:pStyle w:val="Heading1"/>
      </w:pPr>
      <w:r>
        <w:rPr>
          <w:b/>
        </w:rPr>
        <w:t xml:space="preserve">Provider Access </w:t>
      </w:r>
      <w:r w:rsidRPr="00BF78E3" w:rsidR="004B4E63">
        <w:rPr>
          <w:b/>
        </w:rPr>
        <w:t>Policy</w:t>
      </w:r>
    </w:p>
    <w:p w:rsidRPr="00370722" w:rsidR="00370722" w:rsidP="00370722" w:rsidRDefault="00370722" w14:paraId="61A69A78" w14:textId="77777777"/>
    <w:p w:rsidR="004B4E63" w:rsidP="00B92A3F" w:rsidRDefault="004B4E63" w14:paraId="61A69A79" w14:textId="77777777">
      <w:pPr>
        <w:pStyle w:val="Heading1"/>
        <w:numPr>
          <w:ilvl w:val="0"/>
          <w:numId w:val="8"/>
        </w:numPr>
      </w:pPr>
      <w:r>
        <w:t>Purpose of Policy</w:t>
      </w:r>
    </w:p>
    <w:p w:rsidR="00DC3DA9" w:rsidP="00B92A3F" w:rsidRDefault="00DC3DA9" w14:paraId="61A69A7A" w14:textId="513D7510">
      <w:pPr>
        <w:ind w:left="360"/>
      </w:pPr>
      <w:r>
        <w:t>This policy statement aims to set out our s</w:t>
      </w:r>
      <w:r w:rsidR="002378B4">
        <w:t xml:space="preserve">ixth form’s </w:t>
      </w:r>
      <w:r>
        <w:t xml:space="preserve"> arrangements for managing the access of education and training providers to students for the purpose of giving them information about their offer. </w:t>
      </w:r>
    </w:p>
    <w:p w:rsidR="00BF78E3" w:rsidP="00B92A3F" w:rsidRDefault="00BF78E3" w14:paraId="61A69A7B" w14:textId="77777777">
      <w:pPr>
        <w:pStyle w:val="Heading1"/>
        <w:numPr>
          <w:ilvl w:val="0"/>
          <w:numId w:val="8"/>
        </w:numPr>
      </w:pPr>
      <w:r>
        <w:t>Scope</w:t>
      </w:r>
    </w:p>
    <w:p w:rsidR="009874C6" w:rsidP="00B92A3F" w:rsidRDefault="009874C6" w14:paraId="61A69A7C" w14:textId="77777777">
      <w:pPr>
        <w:ind w:left="360"/>
      </w:pPr>
      <w:r>
        <w:t>It sets out:</w:t>
      </w:r>
    </w:p>
    <w:p w:rsidR="009874C6" w:rsidP="00D639A6" w:rsidRDefault="009874C6" w14:paraId="61A69A7D" w14:textId="77777777">
      <w:pPr>
        <w:pStyle w:val="ListParagraph"/>
        <w:numPr>
          <w:ilvl w:val="0"/>
          <w:numId w:val="13"/>
        </w:numPr>
      </w:pPr>
      <w:r>
        <w:t>Procedures in relation to requests for access</w:t>
      </w:r>
    </w:p>
    <w:p w:rsidR="009874C6" w:rsidP="00D639A6" w:rsidRDefault="009874C6" w14:paraId="61A69A7E" w14:textId="77777777">
      <w:pPr>
        <w:pStyle w:val="ListParagraph"/>
        <w:numPr>
          <w:ilvl w:val="0"/>
          <w:numId w:val="13"/>
        </w:numPr>
      </w:pPr>
      <w:r>
        <w:t>The grounds for granting and refusing requests for access</w:t>
      </w:r>
    </w:p>
    <w:p w:rsidR="009874C6" w:rsidP="00D639A6" w:rsidRDefault="009874C6" w14:paraId="61A69A7F" w14:textId="77777777">
      <w:pPr>
        <w:pStyle w:val="ListParagraph"/>
        <w:numPr>
          <w:ilvl w:val="0"/>
          <w:numId w:val="13"/>
        </w:numPr>
      </w:pPr>
      <w:r>
        <w:t>Details of premises or facilities to be provided to a person who is given access</w:t>
      </w:r>
    </w:p>
    <w:p w:rsidR="009874C6" w:rsidP="00B92A3F" w:rsidRDefault="009874C6" w14:paraId="61A69A80" w14:textId="77777777">
      <w:pPr>
        <w:pStyle w:val="Heading1"/>
        <w:numPr>
          <w:ilvl w:val="0"/>
          <w:numId w:val="8"/>
        </w:numPr>
      </w:pPr>
      <w:r w:rsidRPr="00B92A3F">
        <w:t>Statutory requirements</w:t>
      </w:r>
    </w:p>
    <w:p w:rsidR="002C3930" w:rsidP="002C3930" w:rsidRDefault="002378B4" w14:paraId="61A69A81" w14:textId="45604DA6">
      <w:r>
        <w:t xml:space="preserve">Schools </w:t>
      </w:r>
      <w:r w:rsidR="002C3930">
        <w:t>are required to ensure that there is an opportunity for a range of education and training providers to access students in years 8 to 13 for the purposes of informing them about approved technical education, qualifications or apprenticeships.</w:t>
      </w:r>
    </w:p>
    <w:p w:rsidR="002C3930" w:rsidP="002C3930" w:rsidRDefault="002C3930" w14:paraId="61A69A82" w14:textId="4F8942E1">
      <w:r>
        <w:t xml:space="preserve">Schools must also have a policy statement that outlines the circumstances in which education and training providers will be given access to these students. </w:t>
      </w:r>
      <w:r w:rsidR="001A34F1">
        <w:t>That is why the department</w:t>
      </w:r>
      <w:r w:rsidR="001A34F1">
        <w:t xml:space="preserve"> for education</w:t>
      </w:r>
      <w:r w:rsidR="001A34F1">
        <w:t xml:space="preserve"> introduced a legal duty in 2018, commonly known as the ‘Baker Clause</w:t>
      </w:r>
      <w:r w:rsidR="001A34F1">
        <w:t>.</w:t>
      </w:r>
      <w:r w:rsidR="001A34F1">
        <w:t>’</w:t>
      </w:r>
    </w:p>
    <w:p w:rsidRPr="00B92A3F" w:rsidR="00B92A3F" w:rsidP="002C3930" w:rsidRDefault="002C3930" w14:paraId="61A69A84" w14:textId="2AFBBA23">
      <w:r>
        <w:t xml:space="preserve">This policy shows how our </w:t>
      </w:r>
      <w:r w:rsidR="001A34F1">
        <w:t>The Sixth Form, Bolton</w:t>
      </w:r>
      <w:r>
        <w:t xml:space="preserve"> complies with these requirements.</w:t>
      </w:r>
    </w:p>
    <w:p w:rsidR="00D020B6" w:rsidP="00BF2204" w:rsidRDefault="00D020B6" w14:paraId="61A69A85" w14:textId="681E19A2">
      <w:pPr>
        <w:pStyle w:val="Heading1"/>
      </w:pPr>
      <w:r w:rsidR="76885C84">
        <w:rPr/>
        <w:t>4</w:t>
      </w:r>
      <w:r w:rsidR="00D020B6">
        <w:rPr/>
        <w:t>. Student entitlement</w:t>
      </w:r>
    </w:p>
    <w:p w:rsidR="00D020B6" w:rsidP="00D020B6" w:rsidRDefault="00D020B6" w14:paraId="61A69A86" w14:textId="22D4AEF8">
      <w:r>
        <w:t xml:space="preserve">All students </w:t>
      </w:r>
      <w:r w:rsidR="001A34F1">
        <w:t>on a foundation programme and in years</w:t>
      </w:r>
      <w:r>
        <w:t xml:space="preserve"> </w:t>
      </w:r>
      <w:r w:rsidR="00AD7DF0">
        <w:t>12</w:t>
      </w:r>
      <w:r>
        <w:t xml:space="preserve"> to 13 at </w:t>
      </w:r>
      <w:r w:rsidR="001A34F1">
        <w:t>The sixth Form, Bolton</w:t>
      </w:r>
      <w:r>
        <w:t xml:space="preserve"> are entitled to:</w:t>
      </w:r>
    </w:p>
    <w:p w:rsidR="00D020B6" w:rsidP="00AD7DF0" w:rsidRDefault="00D020B6" w14:paraId="61A69A87" w14:textId="7F4608FA">
      <w:pPr>
        <w:pStyle w:val="ListParagraph"/>
        <w:numPr>
          <w:ilvl w:val="0"/>
          <w:numId w:val="9"/>
        </w:numPr>
      </w:pPr>
      <w:r>
        <w:t>Find out about</w:t>
      </w:r>
      <w:r w:rsidR="001A34F1">
        <w:t xml:space="preserve"> further and higher education,</w:t>
      </w:r>
      <w:r>
        <w:t xml:space="preserve"> technical education qualifications and apprenticeship opportunities, as part of our careers programme which provides information on the full range of education and training options available</w:t>
      </w:r>
      <w:r w:rsidR="001A34F1">
        <w:t>, post-sixth form.</w:t>
      </w:r>
    </w:p>
    <w:p w:rsidR="00D020B6" w:rsidP="00AD7DF0" w:rsidRDefault="00D020B6" w14:paraId="61A69A88" w14:textId="6815CB76">
      <w:pPr>
        <w:pStyle w:val="ListParagraph"/>
        <w:numPr>
          <w:ilvl w:val="0"/>
          <w:numId w:val="9"/>
        </w:numPr>
      </w:pPr>
      <w:r>
        <w:t>Hear from a range of providers about the opportunities they offer, including</w:t>
      </w:r>
      <w:r w:rsidR="001A34F1">
        <w:t xml:space="preserve"> further and higher education,</w:t>
      </w:r>
      <w:r>
        <w:t xml:space="preserve"> technical education and apprenticeships</w:t>
      </w:r>
    </w:p>
    <w:p w:rsidR="00D020B6" w:rsidP="00AD7DF0" w:rsidRDefault="00D020B6" w14:paraId="61A69A89" w14:textId="45BAB646">
      <w:pPr>
        <w:pStyle w:val="ListParagraph"/>
        <w:numPr>
          <w:ilvl w:val="0"/>
          <w:numId w:val="9"/>
        </w:numPr>
      </w:pPr>
      <w:r>
        <w:t>Understand how to make applications for the full range of academic</w:t>
      </w:r>
      <w:r w:rsidR="001A34F1">
        <w:t xml:space="preserve"> programmes, </w:t>
      </w:r>
      <w:r>
        <w:t>technical courses</w:t>
      </w:r>
      <w:r w:rsidR="001A34F1">
        <w:t xml:space="preserve"> and apprenticeships.</w:t>
      </w:r>
    </w:p>
    <w:p w:rsidR="00D020B6" w:rsidP="00D020B6" w:rsidRDefault="00D020B6" w14:paraId="61A69A8A" w14:textId="77777777"/>
    <w:p w:rsidR="00D639A6" w:rsidP="00D020B6" w:rsidRDefault="00D639A6" w14:paraId="61A69A8B" w14:textId="77777777"/>
    <w:p w:rsidR="00D639A6" w:rsidP="00D020B6" w:rsidRDefault="00D639A6" w14:paraId="61A69A8C" w14:textId="77777777"/>
    <w:p w:rsidR="007605A5" w:rsidP="00D020B6" w:rsidRDefault="007605A5" w14:paraId="61A69A8D" w14:textId="77777777"/>
    <w:p w:rsidR="00D020B6" w:rsidP="00BF2204" w:rsidRDefault="0026380D" w14:paraId="61A69A8E" w14:textId="3796F2DF">
      <w:pPr>
        <w:pStyle w:val="Heading1"/>
      </w:pPr>
      <w:r w:rsidR="6776F81B">
        <w:rPr/>
        <w:t>5.</w:t>
      </w:r>
      <w:r w:rsidR="0026380D">
        <w:rPr/>
        <w:t xml:space="preserve"> </w:t>
      </w:r>
      <w:r w:rsidR="00AD7DF0">
        <w:rPr/>
        <w:t xml:space="preserve">Management of provider access requests </w:t>
      </w:r>
      <w:r w:rsidR="00D020B6">
        <w:rPr/>
        <w:t>Procedure</w:t>
      </w:r>
    </w:p>
    <w:p w:rsidR="00222DAC" w:rsidP="00D020B6" w:rsidRDefault="00222DAC" w14:paraId="61A69A8F" w14:textId="77777777"/>
    <w:p w:rsidR="00FB5C84" w:rsidP="00D020B6" w:rsidRDefault="00D020B6" w14:paraId="61A69A90" w14:textId="2160E0BE">
      <w:r>
        <w:t>A provider wishing to request access sho</w:t>
      </w:r>
      <w:r w:rsidR="00222DAC">
        <w:t>uld</w:t>
      </w:r>
      <w:r w:rsidR="00D64F7C">
        <w:t xml:space="preserve"> initially</w:t>
      </w:r>
      <w:r w:rsidR="00222DAC">
        <w:t xml:space="preserve"> contact</w:t>
      </w:r>
      <w:r w:rsidR="001A34F1">
        <w:t xml:space="preserve"> a member of the B6 Careers Team</w:t>
      </w:r>
      <w:r w:rsidR="00FB5C84">
        <w:t>. We actively welcome providers who can enhance the delivery of the College careers curriculum and can help the College to maintaining our achievement of the Gatsby benchmarks.</w:t>
      </w:r>
    </w:p>
    <w:p w:rsidR="00D020B6" w:rsidP="00D020B6" w:rsidRDefault="00222DAC" w14:paraId="61A69A91" w14:textId="77777777">
      <w:r>
        <w:t>Telephone: 01204 846215</w:t>
      </w:r>
    </w:p>
    <w:p w:rsidR="00D020B6" w:rsidP="00D020B6" w:rsidRDefault="00222DAC" w14:paraId="61A69A92" w14:textId="4A067650">
      <w:r>
        <w:t xml:space="preserve">Email: </w:t>
      </w:r>
      <w:hyperlink w:history="1" r:id="rId8">
        <w:r w:rsidRPr="00E46471" w:rsidR="001A34F1">
          <w:rPr>
            <w:rStyle w:val="Hyperlink"/>
            <w:rFonts w:asciiTheme="minorHAnsi" w:hAnsiTheme="minorHAnsi"/>
            <w:sz w:val="22"/>
          </w:rPr>
          <w:t>careers@bolton-sfc.ac.uk</w:t>
        </w:r>
      </w:hyperlink>
      <w:r>
        <w:t xml:space="preserve"> </w:t>
      </w:r>
    </w:p>
    <w:p w:rsidR="00D020B6" w:rsidP="00BF2204" w:rsidRDefault="007605A5" w14:paraId="61A69A93" w14:textId="307830C9">
      <w:pPr>
        <w:pStyle w:val="Heading1"/>
      </w:pPr>
      <w:r w:rsidR="5F5D0C64">
        <w:rPr/>
        <w:t>5</w:t>
      </w:r>
      <w:r w:rsidR="007605A5">
        <w:rPr/>
        <w:t>.1</w:t>
      </w:r>
      <w:r w:rsidR="00D020B6">
        <w:rPr/>
        <w:t xml:space="preserve"> Opportunities for access</w:t>
      </w:r>
    </w:p>
    <w:p w:rsidR="00D020B6" w:rsidP="00D020B6" w:rsidRDefault="00D020B6" w14:paraId="61A69A94" w14:textId="77777777">
      <w:r>
        <w:t xml:space="preserve">A number of events, integrated into our careers programme, will offer providers an opportunity to come into </w:t>
      </w:r>
      <w:r w:rsidR="00B771EC">
        <w:t>the College</w:t>
      </w:r>
      <w:r>
        <w:t xml:space="preserve"> to speak to students and/or their parents/carers: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61"/>
        <w:gridCol w:w="2437"/>
        <w:gridCol w:w="2747"/>
      </w:tblGrid>
      <w:tr w:rsidRPr="00E602BA" w:rsidR="00E602BA" w:rsidTr="000E5FCD" w14:paraId="61A69A99" w14:textId="77777777">
        <w:trPr>
          <w:trHeight w:val="252"/>
        </w:trPr>
        <w:tc>
          <w:tcPr>
            <w:tcW w:w="1271" w:type="dxa"/>
          </w:tcPr>
          <w:p w:rsidRPr="00E602BA" w:rsidR="00E602BA" w:rsidP="00E602BA" w:rsidRDefault="00E602BA" w14:paraId="61A69A95" w14:textId="77777777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693" w:type="dxa"/>
          </w:tcPr>
          <w:p w:rsidRPr="00E602BA" w:rsidR="00E602BA" w:rsidP="00E602BA" w:rsidRDefault="00E602BA" w14:paraId="61A69A96" w14:textId="77777777">
            <w:pPr>
              <w:jc w:val="center"/>
              <w:rPr>
                <w:b/>
              </w:rPr>
            </w:pPr>
            <w:r w:rsidRPr="00E602BA">
              <w:rPr>
                <w:b/>
              </w:rPr>
              <w:t>Autumn term</w:t>
            </w:r>
          </w:p>
        </w:tc>
        <w:tc>
          <w:tcPr>
            <w:tcW w:w="2552" w:type="dxa"/>
          </w:tcPr>
          <w:p w:rsidRPr="00E602BA" w:rsidR="00E602BA" w:rsidP="00E602BA" w:rsidRDefault="00E602BA" w14:paraId="61A69A97" w14:textId="77777777">
            <w:pPr>
              <w:jc w:val="center"/>
              <w:rPr>
                <w:b/>
              </w:rPr>
            </w:pPr>
            <w:r w:rsidRPr="00E602BA">
              <w:rPr>
                <w:b/>
              </w:rPr>
              <w:t>Spring term</w:t>
            </w:r>
          </w:p>
        </w:tc>
        <w:tc>
          <w:tcPr>
            <w:tcW w:w="2500" w:type="dxa"/>
          </w:tcPr>
          <w:p w:rsidRPr="00E602BA" w:rsidR="00E602BA" w:rsidP="00E602BA" w:rsidRDefault="00E602BA" w14:paraId="61A69A98" w14:textId="77777777">
            <w:pPr>
              <w:jc w:val="center"/>
              <w:rPr>
                <w:b/>
              </w:rPr>
            </w:pPr>
            <w:r w:rsidRPr="00E602BA">
              <w:rPr>
                <w:b/>
              </w:rPr>
              <w:t>Summer term</w:t>
            </w:r>
          </w:p>
        </w:tc>
      </w:tr>
      <w:tr w:rsidR="001A34F1" w:rsidTr="000E5FCD" w14:paraId="7804B74E" w14:textId="77777777">
        <w:trPr>
          <w:trHeight w:val="252"/>
        </w:trPr>
        <w:tc>
          <w:tcPr>
            <w:tcW w:w="1271" w:type="dxa"/>
          </w:tcPr>
          <w:p w:rsidR="001A34F1" w:rsidP="00D020B6" w:rsidRDefault="001A34F1" w14:paraId="4A83CC96" w14:textId="0E808155">
            <w:r>
              <w:t>Foundation Programme</w:t>
            </w:r>
          </w:p>
        </w:tc>
        <w:tc>
          <w:tcPr>
            <w:tcW w:w="2693" w:type="dxa"/>
          </w:tcPr>
          <w:p w:rsidR="001A34F1" w:rsidP="00D020B6" w:rsidRDefault="001A34F1" w14:paraId="3D4C7700" w14:textId="77777777"/>
        </w:tc>
        <w:tc>
          <w:tcPr>
            <w:tcW w:w="2552" w:type="dxa"/>
          </w:tcPr>
          <w:p w:rsidR="001A34F1" w:rsidP="00D020B6" w:rsidRDefault="003470B9" w14:paraId="397E130B" w14:textId="1FC1BD76">
            <w:r>
              <w:t>Skills Day</w:t>
            </w:r>
          </w:p>
        </w:tc>
        <w:tc>
          <w:tcPr>
            <w:tcW w:w="2500" w:type="dxa"/>
          </w:tcPr>
          <w:p w:rsidR="001A34F1" w:rsidP="00D020B6" w:rsidRDefault="003470B9" w14:paraId="34AD50E2" w14:textId="6EB9F536">
            <w:r>
              <w:t>Progression interviews with tutor and 1:1 careers guidance appointments.</w:t>
            </w:r>
          </w:p>
        </w:tc>
      </w:tr>
      <w:tr w:rsidR="00E602BA" w:rsidTr="000E5FCD" w14:paraId="61A69A9E" w14:textId="77777777">
        <w:trPr>
          <w:trHeight w:val="252"/>
        </w:trPr>
        <w:tc>
          <w:tcPr>
            <w:tcW w:w="1271" w:type="dxa"/>
          </w:tcPr>
          <w:p w:rsidR="00E602BA" w:rsidP="00D020B6" w:rsidRDefault="000E5FCD" w14:paraId="61A69A9A" w14:textId="77777777">
            <w:r>
              <w:t>Year 12</w:t>
            </w:r>
          </w:p>
        </w:tc>
        <w:tc>
          <w:tcPr>
            <w:tcW w:w="2693" w:type="dxa"/>
          </w:tcPr>
          <w:p w:rsidR="003470B9" w:rsidP="00D020B6" w:rsidRDefault="003470B9" w14:paraId="79E80AD0" w14:textId="1CBABB09">
            <w:r>
              <w:t>Professional Growth Programme activities supported by a range of employers and providers.</w:t>
            </w:r>
          </w:p>
          <w:p w:rsidR="003470B9" w:rsidP="00D020B6" w:rsidRDefault="003470B9" w14:paraId="4EC6A1CC" w14:textId="77777777"/>
          <w:p w:rsidR="003470B9" w:rsidP="00D020B6" w:rsidRDefault="003470B9" w14:paraId="61A69A9B" w14:textId="01A5C015"/>
        </w:tc>
        <w:tc>
          <w:tcPr>
            <w:tcW w:w="2552" w:type="dxa"/>
          </w:tcPr>
          <w:p w:rsidR="00E602BA" w:rsidP="00D020B6" w:rsidRDefault="003470B9" w14:paraId="3CE2B633" w14:textId="5B128526">
            <w:r>
              <w:t xml:space="preserve">Professional Growth Programme </w:t>
            </w:r>
            <w:r>
              <w:t>a</w:t>
            </w:r>
            <w:r>
              <w:t>ctivities</w:t>
            </w:r>
          </w:p>
          <w:p w:rsidR="003470B9" w:rsidP="00D020B6" w:rsidRDefault="003470B9" w14:paraId="0D86115C" w14:textId="6B54B5CF">
            <w:r>
              <w:t>supported by a range of employers and providers.</w:t>
            </w:r>
          </w:p>
          <w:p w:rsidR="003470B9" w:rsidP="00D020B6" w:rsidRDefault="003470B9" w14:paraId="734F42F3" w14:textId="77777777"/>
          <w:p w:rsidR="003470B9" w:rsidP="00D020B6" w:rsidRDefault="003470B9" w14:paraId="61A69A9C" w14:textId="61022BD6">
            <w:r>
              <w:t>Annual Careers Day, (guest speakers and stall holders from universities, employment sectors and training providers)</w:t>
            </w:r>
          </w:p>
        </w:tc>
        <w:tc>
          <w:tcPr>
            <w:tcW w:w="2500" w:type="dxa"/>
          </w:tcPr>
          <w:p w:rsidR="003470B9" w:rsidP="00D020B6" w:rsidRDefault="003470B9" w14:paraId="5353E01A" w14:textId="22E9C6F8">
            <w:r>
              <w:t xml:space="preserve">Professional Growth Programme </w:t>
            </w:r>
            <w:r>
              <w:t>a</w:t>
            </w:r>
            <w:r>
              <w:t>ctivities</w:t>
            </w:r>
            <w:r>
              <w:t xml:space="preserve"> </w:t>
            </w:r>
            <w:r>
              <w:t>supported by a range of employers and providers.</w:t>
            </w:r>
          </w:p>
          <w:p w:rsidR="003470B9" w:rsidP="00D020B6" w:rsidRDefault="003470B9" w14:paraId="7D82CC2A" w14:textId="77777777"/>
          <w:p w:rsidR="003470B9" w:rsidP="003470B9" w:rsidRDefault="003470B9" w14:paraId="4357491F" w14:textId="72F90EC0">
            <w:r>
              <w:t>Support with applications to higher education via tutor groups, the careers team and HE providers</w:t>
            </w:r>
          </w:p>
          <w:p w:rsidR="003470B9" w:rsidP="003470B9" w:rsidRDefault="003470B9" w14:paraId="57B7C194" w14:textId="3F8A1EE9"/>
          <w:p w:rsidR="00E602BA" w:rsidP="003470B9" w:rsidRDefault="003470B9" w14:paraId="61A69A9D" w14:textId="31E73A9E">
            <w:r>
              <w:t>Parents and Carers Progression Information Evening</w:t>
            </w:r>
          </w:p>
        </w:tc>
      </w:tr>
      <w:tr w:rsidR="00E602BA" w:rsidTr="000E5FCD" w14:paraId="61A69AA3" w14:textId="77777777">
        <w:trPr>
          <w:trHeight w:val="252"/>
        </w:trPr>
        <w:tc>
          <w:tcPr>
            <w:tcW w:w="1271" w:type="dxa"/>
          </w:tcPr>
          <w:p w:rsidR="00E602BA" w:rsidP="00D020B6" w:rsidRDefault="000E5FCD" w14:paraId="61A69A9F" w14:textId="77777777">
            <w:r>
              <w:t>Year 13</w:t>
            </w:r>
          </w:p>
        </w:tc>
        <w:tc>
          <w:tcPr>
            <w:tcW w:w="2693" w:type="dxa"/>
          </w:tcPr>
          <w:p w:rsidR="003470B9" w:rsidP="003470B9" w:rsidRDefault="003470B9" w14:paraId="0F35129A" w14:textId="08C2AB2D">
            <w:r>
              <w:t>Professional Growth Programme activities supported by a range of employers and providers.</w:t>
            </w:r>
          </w:p>
          <w:p w:rsidR="003470B9" w:rsidP="003470B9" w:rsidRDefault="003470B9" w14:paraId="2F2D9ACA" w14:textId="03980F21"/>
          <w:p w:rsidR="003470B9" w:rsidP="003470B9" w:rsidRDefault="003470B9" w14:paraId="7B890CFF" w14:textId="3F2F6FB5">
            <w:r>
              <w:t>Apprenticeship Academy, which provides a number of workshops to support students with their apprenticeship application.</w:t>
            </w:r>
          </w:p>
          <w:p w:rsidR="003470B9" w:rsidP="003470B9" w:rsidRDefault="003470B9" w14:paraId="637B96A4" w14:textId="174F0066"/>
          <w:p w:rsidR="00E602BA" w:rsidP="003470B9" w:rsidRDefault="003470B9" w14:paraId="61A69AA0" w14:textId="6C9D06A0">
            <w:r>
              <w:t>Support with applications to higher education via tutor groups, the careers team and HE providers.</w:t>
            </w:r>
          </w:p>
        </w:tc>
        <w:tc>
          <w:tcPr>
            <w:tcW w:w="2552" w:type="dxa"/>
          </w:tcPr>
          <w:p w:rsidR="003470B9" w:rsidP="003470B9" w:rsidRDefault="003470B9" w14:paraId="1EBF5BCD" w14:textId="178E423B">
            <w:r>
              <w:t>Professional Growth Programme activities supported by a range of employers and providers.</w:t>
            </w:r>
          </w:p>
          <w:p w:rsidR="003470B9" w:rsidP="003470B9" w:rsidRDefault="003470B9" w14:paraId="478F946B" w14:textId="6A3DB58B"/>
          <w:p w:rsidR="003470B9" w:rsidP="003470B9" w:rsidRDefault="003470B9" w14:paraId="3A333745" w14:textId="77777777">
            <w:r>
              <w:t>Apprenticeship Academy, which provides a number of workshops to support students with their apprenticeship application.</w:t>
            </w:r>
          </w:p>
          <w:p w:rsidR="00E602BA" w:rsidP="00D020B6" w:rsidRDefault="00E602BA" w14:paraId="61A69AA1" w14:textId="3E6E0B96"/>
        </w:tc>
        <w:tc>
          <w:tcPr>
            <w:tcW w:w="2500" w:type="dxa"/>
          </w:tcPr>
          <w:p w:rsidR="003470B9" w:rsidP="003470B9" w:rsidRDefault="003470B9" w14:paraId="3D127942" w14:textId="1CA77272">
            <w:r>
              <w:t>Professional Growth Programme activities supported by a range of employers and providers.</w:t>
            </w:r>
          </w:p>
          <w:p w:rsidR="003470B9" w:rsidP="003470B9" w:rsidRDefault="003470B9" w14:paraId="5EDE4625" w14:textId="1035E544"/>
          <w:p w:rsidR="003470B9" w:rsidP="003470B9" w:rsidRDefault="003470B9" w14:paraId="48211C03" w14:textId="77777777">
            <w:r>
              <w:t>Apprenticeship Academy, which provides a number of workshops to support students with their apprenticeship application.</w:t>
            </w:r>
          </w:p>
          <w:p w:rsidR="003470B9" w:rsidP="003470B9" w:rsidRDefault="003470B9" w14:paraId="1FF27BC9" w14:textId="348386D1"/>
          <w:p w:rsidR="003470B9" w:rsidP="003470B9" w:rsidRDefault="003470B9" w14:paraId="34D7CDA1" w14:textId="14AAC8D5">
            <w:r>
              <w:t>Recruitment/apprenticeship fair.</w:t>
            </w:r>
          </w:p>
          <w:p w:rsidR="00E602BA" w:rsidP="00D020B6" w:rsidRDefault="00E602BA" w14:paraId="61A69AA2" w14:textId="2E3186F0"/>
        </w:tc>
      </w:tr>
    </w:tbl>
    <w:p w:rsidR="00D020B6" w:rsidP="00D020B6" w:rsidRDefault="00D020B6" w14:paraId="61A69AA4" w14:textId="0EC09B0A">
      <w:r>
        <w:lastRenderedPageBreak/>
        <w:tab/>
      </w:r>
    </w:p>
    <w:p w:rsidR="003470B9" w:rsidP="00D020B6" w:rsidRDefault="003470B9" w14:paraId="0E0887BB" w14:textId="77777777"/>
    <w:p w:rsidR="00D020B6" w:rsidP="00825523" w:rsidRDefault="003470B9" w14:paraId="61A69AA5" w14:textId="7506C121">
      <w:r>
        <w:t xml:space="preserve">The Sixth Form, Bolton </w:t>
      </w:r>
      <w:r w:rsidR="00825523">
        <w:t>offer</w:t>
      </w:r>
      <w:r>
        <w:t>s</w:t>
      </w:r>
      <w:r w:rsidR="00825523">
        <w:t xml:space="preserve"> providers numerous opportunities throughout the academic year to speak to students and/or their parents. Our annual schedule of events is revised annually to reflect the needs of our students and is incorporated </w:t>
      </w:r>
      <w:r>
        <w:t>into our careers programme which is published on The Sixth Form’s website</w:t>
      </w:r>
      <w:r w:rsidR="00825523">
        <w:t xml:space="preserve">. The table </w:t>
      </w:r>
      <w:r>
        <w:t xml:space="preserve">above </w:t>
      </w:r>
      <w:r w:rsidR="00825523">
        <w:t xml:space="preserve">highlights some of the key opportunities available to our students. </w:t>
      </w:r>
      <w:r w:rsidR="00D020B6">
        <w:t xml:space="preserve">Please speak to our </w:t>
      </w:r>
      <w:r>
        <w:t>head of careers</w:t>
      </w:r>
      <w:r w:rsidR="000E5FCD">
        <w:t>, Jill Whitham,</w:t>
      </w:r>
      <w:r w:rsidR="00D020B6">
        <w:t xml:space="preserve"> to identify the most suitable opportunity for you</w:t>
      </w:r>
      <w:r w:rsidR="00565CF6">
        <w:t xml:space="preserve">: </w:t>
      </w:r>
      <w:hyperlink w:history="1" r:id="rId9">
        <w:r w:rsidRPr="00E46471" w:rsidR="00565CF6">
          <w:rPr>
            <w:rStyle w:val="Hyperlink"/>
            <w:rFonts w:asciiTheme="minorHAnsi" w:hAnsiTheme="minorHAnsi"/>
            <w:sz w:val="22"/>
          </w:rPr>
          <w:t>jwhitham@bolton-sfc.ac.uk</w:t>
        </w:r>
      </w:hyperlink>
    </w:p>
    <w:p w:rsidR="00D020B6" w:rsidP="002F1B39" w:rsidRDefault="007605A5" w14:paraId="61A69AA6" w14:textId="615FCFDF">
      <w:pPr>
        <w:pStyle w:val="Heading1"/>
      </w:pPr>
      <w:r w:rsidR="5FCF2545">
        <w:rPr/>
        <w:t>5</w:t>
      </w:r>
      <w:r w:rsidR="007605A5">
        <w:rPr/>
        <w:t>.2</w:t>
      </w:r>
      <w:r w:rsidR="00D020B6">
        <w:rPr/>
        <w:t xml:space="preserve"> Granting and refusing access</w:t>
      </w:r>
    </w:p>
    <w:p w:rsidR="00D020B6" w:rsidP="00D020B6" w:rsidRDefault="00565CF6" w14:paraId="61A69AA7" w14:textId="5AF4AF0F">
      <w:r>
        <w:t>A</w:t>
      </w:r>
      <w:r w:rsidR="00D020B6">
        <w:t>ccess to stude</w:t>
      </w:r>
      <w:r w:rsidR="00D64F7C">
        <w:t>nts will be granted or refused</w:t>
      </w:r>
      <w:r w:rsidR="00A60A91">
        <w:t xml:space="preserve"> at the discretion of the Principal</w:t>
      </w:r>
      <w:r w:rsidR="00825523">
        <w:t>,</w:t>
      </w:r>
      <w:r w:rsidR="00A60A91">
        <w:t xml:space="preserve"> considerations will be needed in terms of:</w:t>
      </w:r>
    </w:p>
    <w:p w:rsidR="00A60A91" w:rsidP="00A60A91" w:rsidRDefault="00A60A91" w14:paraId="61A69AA8" w14:textId="1B1D462A">
      <w:pPr>
        <w:pStyle w:val="ListParagraph"/>
        <w:numPr>
          <w:ilvl w:val="0"/>
          <w:numId w:val="10"/>
        </w:numPr>
      </w:pPr>
      <w:r>
        <w:t xml:space="preserve">The </w:t>
      </w:r>
      <w:r w:rsidR="00565CF6">
        <w:t>Sixth Form’s</w:t>
      </w:r>
      <w:r>
        <w:t xml:space="preserve"> calendar of events</w:t>
      </w:r>
    </w:p>
    <w:p w:rsidR="00A60A91" w:rsidP="00A60A91" w:rsidRDefault="004B3031" w14:paraId="61A69AA9" w14:textId="77777777">
      <w:pPr>
        <w:pStyle w:val="ListParagraph"/>
        <w:numPr>
          <w:ilvl w:val="0"/>
          <w:numId w:val="10"/>
        </w:numPr>
      </w:pPr>
      <w:r>
        <w:t>External e</w:t>
      </w:r>
      <w:r w:rsidR="00A60A91">
        <w:t xml:space="preserve">xaminations and key </w:t>
      </w:r>
      <w:r>
        <w:t xml:space="preserve">internal </w:t>
      </w:r>
      <w:r w:rsidR="00A60A91">
        <w:t>assessments taking place across the College</w:t>
      </w:r>
    </w:p>
    <w:p w:rsidR="00B162F5" w:rsidP="00A60A91" w:rsidRDefault="00B162F5" w14:paraId="61A69AAA" w14:textId="453432A0">
      <w:pPr>
        <w:pStyle w:val="ListParagraph"/>
        <w:numPr>
          <w:ilvl w:val="0"/>
          <w:numId w:val="10"/>
        </w:numPr>
      </w:pPr>
      <w:r>
        <w:t xml:space="preserve">The availability of </w:t>
      </w:r>
      <w:r w:rsidR="00565CF6">
        <w:t>sixth form</w:t>
      </w:r>
      <w:r>
        <w:t xml:space="preserve"> resources</w:t>
      </w:r>
    </w:p>
    <w:p w:rsidR="00B162F5" w:rsidP="00A60A91" w:rsidRDefault="00B162F5" w14:paraId="61A69AAB" w14:textId="31E27DBD">
      <w:pPr>
        <w:pStyle w:val="ListParagraph"/>
        <w:numPr>
          <w:ilvl w:val="0"/>
          <w:numId w:val="10"/>
        </w:numPr>
      </w:pPr>
      <w:r>
        <w:t xml:space="preserve">The interests and needs of the students within </w:t>
      </w:r>
      <w:r w:rsidR="00565CF6">
        <w:t>The Sixth Form.</w:t>
      </w:r>
    </w:p>
    <w:p w:rsidR="000129E7" w:rsidP="000129E7" w:rsidRDefault="000129E7" w14:paraId="61A69AAC" w14:textId="77777777">
      <w:r>
        <w:t xml:space="preserve">It is likely that we will grant access requests that meet the following criteria: </w:t>
      </w:r>
    </w:p>
    <w:p w:rsidR="000129E7" w:rsidP="000129E7" w:rsidRDefault="000129E7" w14:paraId="61A69AAD" w14:textId="77777777">
      <w:pPr>
        <w:pStyle w:val="ListParagraph"/>
        <w:numPr>
          <w:ilvl w:val="0"/>
          <w:numId w:val="14"/>
        </w:numPr>
      </w:pPr>
      <w:r>
        <w:t>That a provider can actively contribute to the school working towards meeting Gatsby Benchmarks.</w:t>
      </w:r>
    </w:p>
    <w:p w:rsidR="000129E7" w:rsidP="000129E7" w:rsidRDefault="000129E7" w14:paraId="61A69AAE" w14:textId="4DA5E409">
      <w:pPr>
        <w:pStyle w:val="ListParagraph"/>
        <w:numPr>
          <w:ilvl w:val="0"/>
          <w:numId w:val="14"/>
        </w:numPr>
      </w:pPr>
      <w:r>
        <w:t>That a provider is a potential realistic destination post</w:t>
      </w:r>
      <w:r w:rsidR="00565CF6">
        <w:t>-</w:t>
      </w:r>
      <w:r>
        <w:t>18 for our students.</w:t>
      </w:r>
    </w:p>
    <w:p w:rsidR="000129E7" w:rsidP="000129E7" w:rsidRDefault="000129E7" w14:paraId="61A69AAF" w14:textId="77777777">
      <w:pPr>
        <w:pStyle w:val="ListParagraph"/>
        <w:numPr>
          <w:ilvl w:val="0"/>
          <w:numId w:val="14"/>
        </w:numPr>
      </w:pPr>
      <w:r>
        <w:t xml:space="preserve">That a provider follows school safeguarding policies. </w:t>
      </w:r>
    </w:p>
    <w:p w:rsidR="000129E7" w:rsidP="000129E7" w:rsidRDefault="000129E7" w14:paraId="61A69AB0" w14:textId="74138845">
      <w:pPr>
        <w:pStyle w:val="ListParagraph"/>
        <w:numPr>
          <w:ilvl w:val="0"/>
          <w:numId w:val="14"/>
        </w:numPr>
      </w:pPr>
      <w:r>
        <w:t xml:space="preserve">That a </w:t>
      </w:r>
      <w:r w:rsidR="00565CF6">
        <w:t>provider</w:t>
      </w:r>
      <w:r>
        <w:t xml:space="preserve"> supplies current, updated and accurate careers information that enables our students to be more informed to make accurate and realistic choices in the future. </w:t>
      </w:r>
    </w:p>
    <w:p w:rsidR="000129E7" w:rsidP="000129E7" w:rsidRDefault="000129E7" w14:paraId="61A69AB1" w14:textId="77777777">
      <w:r>
        <w:t xml:space="preserve">We will refuse any access request: </w:t>
      </w:r>
    </w:p>
    <w:p w:rsidR="000129E7" w:rsidP="009F394B" w:rsidRDefault="000129E7" w14:paraId="61A69AB2" w14:textId="6F22B86E">
      <w:pPr>
        <w:pStyle w:val="ListParagraph"/>
        <w:numPr>
          <w:ilvl w:val="0"/>
          <w:numId w:val="15"/>
        </w:numPr>
      </w:pPr>
      <w:r>
        <w:t>That a provider is not a realistic destination post</w:t>
      </w:r>
      <w:r w:rsidR="00565CF6">
        <w:t>-</w:t>
      </w:r>
      <w:r>
        <w:t xml:space="preserve">18 for our students. </w:t>
      </w:r>
    </w:p>
    <w:p w:rsidR="000129E7" w:rsidP="009F394B" w:rsidRDefault="000129E7" w14:paraId="61A69AB3" w14:textId="590331E5">
      <w:pPr>
        <w:pStyle w:val="ListParagraph"/>
        <w:numPr>
          <w:ilvl w:val="0"/>
          <w:numId w:val="15"/>
        </w:numPr>
      </w:pPr>
      <w:r>
        <w:t>That a provider provides biased and misleading careers information which may prejudice a student being able to make informed and realistic career decisions post</w:t>
      </w:r>
      <w:r w:rsidR="00565CF6">
        <w:t>-1</w:t>
      </w:r>
      <w:r>
        <w:t>8.</w:t>
      </w:r>
    </w:p>
    <w:p w:rsidR="000129E7" w:rsidP="009F394B" w:rsidRDefault="000129E7" w14:paraId="61A69AB4" w14:textId="436BDCA1">
      <w:pPr>
        <w:pStyle w:val="ListParagraph"/>
        <w:numPr>
          <w:ilvl w:val="0"/>
          <w:numId w:val="15"/>
        </w:numPr>
      </w:pPr>
      <w:r>
        <w:t xml:space="preserve">That a provider discriminates against students in terms of race, gender and faith. </w:t>
      </w:r>
    </w:p>
    <w:p w:rsidR="009F394B" w:rsidP="009F394B" w:rsidRDefault="000129E7" w14:paraId="61A69AB5" w14:textId="434B6860">
      <w:pPr>
        <w:pStyle w:val="ListParagraph"/>
        <w:numPr>
          <w:ilvl w:val="0"/>
          <w:numId w:val="15"/>
        </w:numPr>
      </w:pPr>
      <w:r>
        <w:t xml:space="preserve">That a provider does not provide </w:t>
      </w:r>
      <w:r w:rsidR="00565CF6">
        <w:t>The Sixth Form</w:t>
      </w:r>
      <w:r>
        <w:t xml:space="preserve"> with dat</w:t>
      </w:r>
      <w:r w:rsidR="00565CF6">
        <w:t>a</w:t>
      </w:r>
      <w:r>
        <w:t xml:space="preserve"> of students who enrol with them after l</w:t>
      </w:r>
      <w:r w:rsidR="00565CF6">
        <w:t>eaving The Sixth Form</w:t>
      </w:r>
      <w:r>
        <w:t xml:space="preserve">. </w:t>
      </w:r>
    </w:p>
    <w:p w:rsidR="009F394B" w:rsidP="009F394B" w:rsidRDefault="000129E7" w14:paraId="61A69AB6" w14:textId="02F0BE4C">
      <w:pPr>
        <w:pStyle w:val="ListParagraph"/>
        <w:numPr>
          <w:ilvl w:val="0"/>
          <w:numId w:val="15"/>
        </w:numPr>
      </w:pPr>
      <w:r>
        <w:t xml:space="preserve">That a provider does not follow </w:t>
      </w:r>
      <w:r w:rsidR="00565CF6">
        <w:t>The Sixth Form</w:t>
      </w:r>
      <w:r w:rsidR="00565CF6">
        <w:t xml:space="preserve"> Bolton’s </w:t>
      </w:r>
      <w:r>
        <w:t>safeguarding policies or is unwilling to follow them.</w:t>
      </w:r>
    </w:p>
    <w:p w:rsidR="009F394B" w:rsidP="009F394B" w:rsidRDefault="000129E7" w14:paraId="61A69AB7" w14:textId="77777777">
      <w:pPr>
        <w:pStyle w:val="ListParagraph"/>
        <w:numPr>
          <w:ilvl w:val="0"/>
          <w:numId w:val="15"/>
        </w:numPr>
      </w:pPr>
      <w:r>
        <w:t>That a provider uses student data inappropriately and makes financial gain from any encounter with students.</w:t>
      </w:r>
    </w:p>
    <w:p w:rsidR="000129E7" w:rsidP="009F394B" w:rsidRDefault="000129E7" w14:paraId="61A69AB8" w14:textId="77777777">
      <w:pPr>
        <w:pStyle w:val="ListParagraph"/>
        <w:numPr>
          <w:ilvl w:val="0"/>
          <w:numId w:val="15"/>
        </w:numPr>
      </w:pPr>
      <w:r>
        <w:t>That a provider provides misleading information about competitors and alternative pathways.</w:t>
      </w:r>
    </w:p>
    <w:p w:rsidR="00B162F5" w:rsidP="00565CF6" w:rsidRDefault="00D020B6" w14:paraId="61A69ABA" w14:textId="29709D17">
      <w:pPr>
        <w:pStyle w:val="Heading1"/>
      </w:pPr>
      <w:r w:rsidR="6B3F0C48">
        <w:rPr/>
        <w:t>5</w:t>
      </w:r>
      <w:r w:rsidR="007605A5">
        <w:rPr/>
        <w:t>.3</w:t>
      </w:r>
      <w:r w:rsidR="00D020B6">
        <w:rPr/>
        <w:t xml:space="preserve"> Safeguarding</w:t>
      </w:r>
    </w:p>
    <w:p w:rsidRPr="00565CF6" w:rsidR="00565CF6" w:rsidP="00565CF6" w:rsidRDefault="00565CF6" w14:paraId="390D7451" w14:textId="77777777"/>
    <w:p w:rsidR="00D020B6" w:rsidP="00D020B6" w:rsidRDefault="00D020B6" w14:paraId="61A69ABB" w14:textId="25A39C7C">
      <w:r>
        <w:t>Our safeguarding/child</w:t>
      </w:r>
      <w:r w:rsidR="001444F1">
        <w:t xml:space="preserve"> protection policy outlines </w:t>
      </w:r>
      <w:r w:rsidR="00565CF6">
        <w:t>The Sixth Form</w:t>
      </w:r>
      <w:r w:rsidR="00565CF6">
        <w:t xml:space="preserve"> Bolton’s </w:t>
      </w:r>
      <w:r>
        <w:t>procedure for checking the identity and suitability of visitors.</w:t>
      </w:r>
      <w:r w:rsidR="001444F1">
        <w:t xml:space="preserve"> </w:t>
      </w:r>
      <w:r w:rsidR="00565CF6">
        <w:t>Any member of Sixth Form staff</w:t>
      </w:r>
      <w:r w:rsidR="001444F1">
        <w:t xml:space="preserve"> </w:t>
      </w:r>
      <w:r w:rsidR="00565CF6">
        <w:t xml:space="preserve">who has invited a provider into </w:t>
      </w:r>
      <w:r w:rsidR="00565CF6">
        <w:lastRenderedPageBreak/>
        <w:t xml:space="preserve">The Sixth Form </w:t>
      </w:r>
      <w:r w:rsidR="001444F1">
        <w:t xml:space="preserve">will complete a risk assessment for each external visitor and </w:t>
      </w:r>
      <w:r w:rsidR="00565CF6">
        <w:t xml:space="preserve">this </w:t>
      </w:r>
      <w:r w:rsidR="001444F1">
        <w:t xml:space="preserve">must be agreed by the </w:t>
      </w:r>
      <w:r w:rsidR="00F30285">
        <w:t>Deputy Principal before any event</w:t>
      </w:r>
      <w:r w:rsidR="001444F1">
        <w:t xml:space="preserve"> or visit can take place.</w:t>
      </w:r>
    </w:p>
    <w:p w:rsidR="00D020B6" w:rsidP="00D020B6" w:rsidRDefault="00D020B6" w14:paraId="61A69ABD" w14:textId="2F8ED8AA">
      <w:r>
        <w:t xml:space="preserve">Education and training providers will be expected to adhere to this policy. </w:t>
      </w:r>
    </w:p>
    <w:p w:rsidR="00D020B6" w:rsidP="002F1B39" w:rsidRDefault="007605A5" w14:paraId="61A69ABE" w14:textId="3507396E">
      <w:pPr>
        <w:pStyle w:val="Heading1"/>
      </w:pPr>
      <w:r w:rsidR="60AEAD0F">
        <w:rPr/>
        <w:t>5</w:t>
      </w:r>
      <w:r w:rsidR="007605A5">
        <w:rPr/>
        <w:t>.4</w:t>
      </w:r>
      <w:r w:rsidR="00D020B6">
        <w:rPr/>
        <w:t xml:space="preserve"> Premises and facilities</w:t>
      </w:r>
    </w:p>
    <w:p w:rsidR="00EB7C12" w:rsidP="00D020B6" w:rsidRDefault="00EB7C12" w14:paraId="61A69ABF" w14:textId="77777777"/>
    <w:p w:rsidR="00D020B6" w:rsidP="00D020B6" w:rsidRDefault="00EB7C12" w14:paraId="61A69AC0" w14:textId="7203FA9F">
      <w:r>
        <w:t>F</w:t>
      </w:r>
      <w:r w:rsidR="00D020B6">
        <w:t>acilities available to enable providers to access students e.g. rooms, specialist equipment such as audio and visual devices</w:t>
      </w:r>
      <w:r>
        <w:t xml:space="preserve"> will be agreed prior to the event taking place</w:t>
      </w:r>
      <w:r w:rsidR="00062CC9">
        <w:t>.</w:t>
      </w:r>
      <w:r>
        <w:t xml:space="preserve"> </w:t>
      </w:r>
      <w:r w:rsidR="00565CF6">
        <w:t xml:space="preserve">  Any member of staff, when liaising with a provider, </w:t>
      </w:r>
      <w:r>
        <w:t xml:space="preserve">will ensure that all visitors are aware of </w:t>
      </w:r>
      <w:r w:rsidR="00062CC9">
        <w:t xml:space="preserve">the appropriate </w:t>
      </w:r>
      <w:r>
        <w:t>resources available. At this point the</w:t>
      </w:r>
      <w:r w:rsidR="00565CF6">
        <w:t xml:space="preserve"> Sixth Form member of staff will discuss</w:t>
      </w:r>
      <w:r>
        <w:t>:</w:t>
      </w:r>
    </w:p>
    <w:p w:rsidR="00062CC9" w:rsidP="00062CC9" w:rsidRDefault="00D020B6" w14:paraId="61A69AC1" w14:textId="77777777">
      <w:pPr>
        <w:pStyle w:val="ListParagraph"/>
        <w:numPr>
          <w:ilvl w:val="0"/>
          <w:numId w:val="12"/>
        </w:numPr>
      </w:pPr>
      <w:r>
        <w:t>The process for organising and agreeing which facilities can be used</w:t>
      </w:r>
    </w:p>
    <w:p w:rsidR="00D020B6" w:rsidP="00062CC9" w:rsidRDefault="00D020B6" w14:paraId="61A69AC2" w14:textId="77777777">
      <w:pPr>
        <w:pStyle w:val="ListParagraph"/>
        <w:numPr>
          <w:ilvl w:val="0"/>
          <w:numId w:val="12"/>
        </w:numPr>
      </w:pPr>
      <w:r>
        <w:t>Whether providers can leave prospectuses or other material for students to read</w:t>
      </w:r>
    </w:p>
    <w:p w:rsidR="00D020B6" w:rsidP="00EB7C12" w:rsidRDefault="00D020B6" w14:paraId="61A69AC3" w14:textId="5CD6A09B">
      <w:pPr>
        <w:pStyle w:val="Heading1"/>
      </w:pPr>
      <w:r w:rsidR="2E9D78C0">
        <w:rPr/>
        <w:t>6</w:t>
      </w:r>
      <w:r w:rsidR="00D020B6">
        <w:rPr/>
        <w:t>. Links to other policies</w:t>
      </w:r>
    </w:p>
    <w:p w:rsidRPr="00927393" w:rsidR="00927393" w:rsidP="00927393" w:rsidRDefault="00927393" w14:paraId="61A69AC4" w14:textId="77777777"/>
    <w:p w:rsidR="00D020B6" w:rsidP="00D020B6" w:rsidRDefault="00927393" w14:paraId="61A69AC5" w14:textId="77777777">
      <w:r>
        <w:t>O</w:t>
      </w:r>
      <w:r w:rsidR="00D020B6">
        <w:t>ther policies</w:t>
      </w:r>
      <w:r>
        <w:t xml:space="preserve"> that this Provider Access Policy links to</w:t>
      </w:r>
      <w:r w:rsidR="00D020B6">
        <w:t>:</w:t>
      </w:r>
    </w:p>
    <w:p w:rsidR="00D020B6" w:rsidP="00927393" w:rsidRDefault="00D020B6" w14:paraId="61A69AC6" w14:textId="77777777">
      <w:pPr>
        <w:pStyle w:val="ListParagraph"/>
        <w:numPr>
          <w:ilvl w:val="0"/>
          <w:numId w:val="11"/>
        </w:numPr>
      </w:pPr>
      <w:r>
        <w:t>Safeguarding/child protection policy</w:t>
      </w:r>
    </w:p>
    <w:p w:rsidR="005C3009" w:rsidP="00D639A6" w:rsidRDefault="00D639A6" w14:paraId="61A69AC7" w14:textId="1DB2A5AB">
      <w:pPr>
        <w:pStyle w:val="ListParagraph"/>
        <w:numPr>
          <w:ilvl w:val="0"/>
          <w:numId w:val="11"/>
        </w:numPr>
      </w:pPr>
      <w:r w:rsidRPr="00D639A6">
        <w:t>IT Acceptable Use Policy</w:t>
      </w:r>
    </w:p>
    <w:p w:rsidR="00565CF6" w:rsidP="00D639A6" w:rsidRDefault="00565CF6" w14:paraId="698A46FE" w14:textId="2CC8F712">
      <w:pPr>
        <w:pStyle w:val="ListParagraph"/>
        <w:numPr>
          <w:ilvl w:val="0"/>
          <w:numId w:val="11"/>
        </w:numPr>
      </w:pPr>
      <w:r>
        <w:t>Careers Policy</w:t>
      </w:r>
    </w:p>
    <w:p w:rsidR="00D020B6" w:rsidP="002F1B39" w:rsidRDefault="00D020B6" w14:paraId="61A69AC8" w14:textId="53E64267">
      <w:pPr>
        <w:pStyle w:val="Heading1"/>
      </w:pPr>
      <w:r w:rsidR="745F3238">
        <w:rPr/>
        <w:t>7</w:t>
      </w:r>
      <w:r w:rsidR="00D020B6">
        <w:rPr/>
        <w:t>. Monitoring arrangements</w:t>
      </w:r>
    </w:p>
    <w:p w:rsidR="00D020B6" w:rsidP="00D020B6" w:rsidRDefault="00D020B6" w14:paraId="61A69AC9" w14:textId="0D7E2C9D">
      <w:r>
        <w:t>The school’s arrangements for managing the access of education and training provide</w:t>
      </w:r>
      <w:r w:rsidR="00856244">
        <w:t>rs to students is monitored by Jill Whitham</w:t>
      </w:r>
      <w:r w:rsidR="00565CF6">
        <w:t>,</w:t>
      </w:r>
      <w:r w:rsidR="00856244">
        <w:t xml:space="preserve"> Sarah Ball, Assistant Principal</w:t>
      </w:r>
      <w:r w:rsidR="00565CF6">
        <w:t>, Lesley Hart, Deputy Principal.</w:t>
      </w:r>
    </w:p>
    <w:p w:rsidR="004B4E63" w:rsidP="00D020B6" w:rsidRDefault="00D020B6" w14:paraId="61A69ACA" w14:textId="77777777">
      <w:r>
        <w:t xml:space="preserve">This policy will be reviewed by </w:t>
      </w:r>
      <w:r w:rsidR="00856244">
        <w:t>the Senior Management Team</w:t>
      </w:r>
      <w:r>
        <w:t xml:space="preserve"> </w:t>
      </w:r>
      <w:r w:rsidR="00856244">
        <w:t>annually</w:t>
      </w:r>
      <w:r>
        <w:t>. At every review, th</w:t>
      </w:r>
      <w:r w:rsidR="00856244">
        <w:t>e policy will be approved by the Principal.</w:t>
      </w:r>
    </w:p>
    <w:p w:rsidRPr="004B4E63" w:rsidR="002F1B39" w:rsidP="00D020B6" w:rsidRDefault="002F1B39" w14:paraId="61A69ACB" w14:textId="77777777"/>
    <w:tbl>
      <w:tblPr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4394"/>
      </w:tblGrid>
      <w:tr w:rsidRPr="00F04FAB" w:rsidR="00A237F0" w:rsidTr="6CFAA29B" w14:paraId="61A69ACE" w14:textId="77777777">
        <w:tc>
          <w:tcPr>
            <w:tcW w:w="4219" w:type="dxa"/>
            <w:shd w:val="clear" w:color="auto" w:fill="auto"/>
            <w:tcMar/>
          </w:tcPr>
          <w:p w:rsidRPr="00F04FAB" w:rsidR="00A237F0" w:rsidP="00461504" w:rsidRDefault="00A237F0" w14:paraId="61A69ACC" w14:textId="77777777">
            <w:pPr>
              <w:jc w:val="both"/>
              <w:rPr>
                <w:rFonts w:cstheme="minorHAnsi"/>
                <w:b/>
              </w:rPr>
            </w:pPr>
            <w:r w:rsidRPr="00F04FAB">
              <w:rPr>
                <w:rFonts w:cstheme="minorHAnsi"/>
                <w:b/>
              </w:rPr>
              <w:t>Name of Policy</w:t>
            </w:r>
          </w:p>
        </w:tc>
        <w:tc>
          <w:tcPr>
            <w:tcW w:w="4394" w:type="dxa"/>
            <w:shd w:val="clear" w:color="auto" w:fill="auto"/>
            <w:tcMar/>
          </w:tcPr>
          <w:p w:rsidRPr="00F04FAB" w:rsidR="00A237F0" w:rsidP="00461504" w:rsidRDefault="007913B0" w14:paraId="61A69ACD" w14:textId="777777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Provider Access Policy</w:t>
            </w:r>
          </w:p>
        </w:tc>
      </w:tr>
      <w:tr w:rsidRPr="00F04FAB" w:rsidR="00A237F0" w:rsidTr="6CFAA29B" w14:paraId="61A69AD1" w14:textId="77777777">
        <w:tc>
          <w:tcPr>
            <w:tcW w:w="4219" w:type="dxa"/>
            <w:shd w:val="clear" w:color="auto" w:fill="auto"/>
            <w:tcMar/>
          </w:tcPr>
          <w:p w:rsidRPr="00F04FAB" w:rsidR="00A237F0" w:rsidP="00461504" w:rsidRDefault="00A237F0" w14:paraId="61A69ACF" w14:textId="77777777">
            <w:pPr>
              <w:jc w:val="both"/>
              <w:rPr>
                <w:rFonts w:cstheme="minorHAnsi"/>
                <w:b/>
              </w:rPr>
            </w:pPr>
            <w:r w:rsidRPr="00F04FAB">
              <w:rPr>
                <w:rFonts w:cstheme="minorHAnsi"/>
                <w:b/>
              </w:rPr>
              <w:t>Date Reviewed</w:t>
            </w:r>
          </w:p>
        </w:tc>
        <w:tc>
          <w:tcPr>
            <w:tcW w:w="4394" w:type="dxa"/>
            <w:shd w:val="clear" w:color="auto" w:fill="auto"/>
            <w:tcMar/>
          </w:tcPr>
          <w:p w:rsidRPr="00F04FAB" w:rsidR="00A237F0" w:rsidP="00461504" w:rsidRDefault="00D639A6" w14:paraId="61A69AD0" w14:textId="042BFF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Summer 20</w:t>
            </w:r>
            <w:r w:rsidR="00565CF6">
              <w:rPr>
                <w:rFonts w:cstheme="minorHAnsi"/>
              </w:rPr>
              <w:t>22</w:t>
            </w:r>
          </w:p>
        </w:tc>
      </w:tr>
      <w:tr w:rsidRPr="00F04FAB" w:rsidR="00A237F0" w:rsidTr="6CFAA29B" w14:paraId="61A69AD4" w14:textId="77777777">
        <w:tc>
          <w:tcPr>
            <w:tcW w:w="4219" w:type="dxa"/>
            <w:shd w:val="clear" w:color="auto" w:fill="auto"/>
            <w:tcMar/>
          </w:tcPr>
          <w:p w:rsidRPr="00F04FAB" w:rsidR="00A237F0" w:rsidP="00461504" w:rsidRDefault="00A237F0" w14:paraId="61A69AD2" w14:textId="77777777">
            <w:pPr>
              <w:jc w:val="both"/>
              <w:rPr>
                <w:rFonts w:cstheme="minorHAnsi"/>
                <w:b/>
              </w:rPr>
            </w:pPr>
            <w:r w:rsidRPr="00F04FAB">
              <w:rPr>
                <w:rFonts w:cstheme="minorHAnsi"/>
                <w:b/>
              </w:rPr>
              <w:t>Next Review</w:t>
            </w:r>
          </w:p>
        </w:tc>
        <w:tc>
          <w:tcPr>
            <w:tcW w:w="4394" w:type="dxa"/>
            <w:shd w:val="clear" w:color="auto" w:fill="auto"/>
            <w:tcMar/>
          </w:tcPr>
          <w:p w:rsidRPr="00F04FAB" w:rsidR="00A237F0" w:rsidP="00461504" w:rsidRDefault="00A237F0" w14:paraId="61A69AD3" w14:textId="41A23ABB">
            <w:pPr>
              <w:jc w:val="both"/>
              <w:rPr>
                <w:rFonts w:cstheme="minorHAnsi"/>
              </w:rPr>
            </w:pPr>
            <w:r w:rsidRPr="00F04FAB">
              <w:rPr>
                <w:rFonts w:cstheme="minorHAnsi"/>
              </w:rPr>
              <w:t>Summer 202</w:t>
            </w:r>
            <w:r w:rsidR="00565CF6">
              <w:rPr>
                <w:rFonts w:cstheme="minorHAnsi"/>
              </w:rPr>
              <w:t>4</w:t>
            </w:r>
          </w:p>
        </w:tc>
      </w:tr>
      <w:tr w:rsidRPr="00F04FAB" w:rsidR="00A237F0" w:rsidTr="6CFAA29B" w14:paraId="61A69AD7" w14:textId="77777777">
        <w:tc>
          <w:tcPr>
            <w:tcW w:w="4219" w:type="dxa"/>
            <w:shd w:val="clear" w:color="auto" w:fill="auto"/>
            <w:tcMar/>
          </w:tcPr>
          <w:p w:rsidRPr="00F04FAB" w:rsidR="00A237F0" w:rsidP="6CFAA29B" w:rsidRDefault="00A237F0" w14:paraId="61A69AD5" w14:textId="233985D7">
            <w:pPr>
              <w:jc w:val="both"/>
              <w:rPr>
                <w:rFonts w:cs="Calibri" w:cstheme="minorAscii"/>
                <w:b w:val="1"/>
                <w:bCs w:val="1"/>
              </w:rPr>
            </w:pPr>
            <w:r w:rsidRPr="6CFAA29B" w:rsidR="4F93E88A">
              <w:rPr>
                <w:rFonts w:cs="Calibri" w:cstheme="minorAscii"/>
                <w:b w:val="1"/>
                <w:bCs w:val="1"/>
              </w:rPr>
              <w:t xml:space="preserve">JCC Consultation </w:t>
            </w:r>
          </w:p>
        </w:tc>
        <w:tc>
          <w:tcPr>
            <w:tcW w:w="4394" w:type="dxa"/>
            <w:shd w:val="clear" w:color="auto" w:fill="auto"/>
            <w:tcMar/>
          </w:tcPr>
          <w:p w:rsidRPr="00F04FAB" w:rsidR="00A237F0" w:rsidP="00461504" w:rsidRDefault="00A237F0" w14:paraId="61A69AD6" w14:textId="777777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Not required</w:t>
            </w:r>
          </w:p>
        </w:tc>
      </w:tr>
      <w:tr w:rsidRPr="00F04FAB" w:rsidR="00A237F0" w:rsidTr="6CFAA29B" w14:paraId="61A69ADA" w14:textId="77777777">
        <w:tc>
          <w:tcPr>
            <w:tcW w:w="4219" w:type="dxa"/>
            <w:shd w:val="clear" w:color="auto" w:fill="auto"/>
            <w:tcMar/>
          </w:tcPr>
          <w:p w:rsidRPr="00F04FAB" w:rsidR="00A237F0" w:rsidP="00461504" w:rsidRDefault="00A237F0" w14:paraId="61A69AD8" w14:textId="77777777">
            <w:pPr>
              <w:jc w:val="both"/>
              <w:rPr>
                <w:rFonts w:cstheme="minorHAnsi"/>
                <w:b/>
              </w:rPr>
            </w:pPr>
            <w:r w:rsidRPr="00F04FAB">
              <w:rPr>
                <w:rFonts w:cstheme="minorHAnsi"/>
                <w:b/>
              </w:rPr>
              <w:t>Governing Corporation Approval</w:t>
            </w:r>
          </w:p>
        </w:tc>
        <w:tc>
          <w:tcPr>
            <w:tcW w:w="4394" w:type="dxa"/>
            <w:shd w:val="clear" w:color="auto" w:fill="auto"/>
            <w:tcMar/>
          </w:tcPr>
          <w:p w:rsidRPr="00F04FAB" w:rsidR="00A237F0" w:rsidP="6CFAA29B" w:rsidRDefault="00A237F0" w14:paraId="61A69AD9" w14:textId="33288C60">
            <w:pPr>
              <w:jc w:val="both"/>
              <w:rPr>
                <w:rFonts w:cs="Calibri" w:cstheme="minorAscii"/>
              </w:rPr>
            </w:pPr>
            <w:r w:rsidRPr="6CFAA29B" w:rsidR="4F93E88A">
              <w:rPr>
                <w:rFonts w:cs="Calibri" w:cstheme="minorAscii"/>
              </w:rPr>
              <w:t>Required</w:t>
            </w:r>
          </w:p>
        </w:tc>
      </w:tr>
      <w:tr w:rsidRPr="00F04FAB" w:rsidR="00A237F0" w:rsidTr="6CFAA29B" w14:paraId="61A69AE4" w14:textId="77777777">
        <w:tc>
          <w:tcPr>
            <w:tcW w:w="4219" w:type="dxa"/>
            <w:shd w:val="clear" w:color="auto" w:fill="auto"/>
            <w:tcMar/>
          </w:tcPr>
          <w:p w:rsidRPr="00F04FAB" w:rsidR="00A237F0" w:rsidP="00461504" w:rsidRDefault="00A237F0" w14:paraId="61A69ADB" w14:textId="77777777">
            <w:pPr>
              <w:jc w:val="both"/>
              <w:rPr>
                <w:rFonts w:cstheme="minorHAnsi"/>
                <w:b/>
              </w:rPr>
            </w:pPr>
            <w:r w:rsidRPr="00F04FAB">
              <w:rPr>
                <w:rFonts w:cstheme="minorHAnsi"/>
                <w:b/>
              </w:rPr>
              <w:t>Cross Reference to other Policies / Source Documents</w:t>
            </w:r>
          </w:p>
        </w:tc>
        <w:tc>
          <w:tcPr>
            <w:tcW w:w="4394" w:type="dxa"/>
            <w:shd w:val="clear" w:color="auto" w:fill="auto"/>
            <w:tcMar/>
          </w:tcPr>
          <w:p w:rsidR="0096389C" w:rsidP="00461504" w:rsidRDefault="0096389C" w14:paraId="1A115ECE" w14:textId="4E68CB15">
            <w:pPr>
              <w:pStyle w:val="NoSpacing"/>
            </w:pPr>
            <w:r>
              <w:t>Careers Policy</w:t>
            </w:r>
          </w:p>
          <w:p w:rsidRPr="00F04FAB" w:rsidR="00A237F0" w:rsidP="00461504" w:rsidRDefault="00A237F0" w14:paraId="61A69ADC" w14:textId="07351272">
            <w:pPr>
              <w:pStyle w:val="NoSpacing"/>
            </w:pPr>
            <w:r w:rsidRPr="00F04FAB">
              <w:t>IT Acceptable Use Policy</w:t>
            </w:r>
          </w:p>
          <w:p w:rsidRPr="00F04FAB" w:rsidR="00A237F0" w:rsidP="00461504" w:rsidRDefault="00A237F0" w14:paraId="61A69ADD" w14:textId="77777777">
            <w:pPr>
              <w:pStyle w:val="NoSpacing"/>
            </w:pPr>
            <w:r w:rsidRPr="00F04FAB">
              <w:t>Code of Conduct</w:t>
            </w:r>
          </w:p>
          <w:p w:rsidR="00A237F0" w:rsidP="00461504" w:rsidRDefault="00A237F0" w14:paraId="61A69ADE" w14:textId="77777777">
            <w:pPr>
              <w:pStyle w:val="NoSpacing"/>
            </w:pPr>
            <w:r>
              <w:t>Student Handbook</w:t>
            </w:r>
          </w:p>
          <w:p w:rsidR="00A237F0" w:rsidP="00461504" w:rsidRDefault="00A237F0" w14:paraId="61A69ADF" w14:textId="77777777">
            <w:pPr>
              <w:pStyle w:val="NoSpacing"/>
            </w:pPr>
            <w:r>
              <w:t>Parents Handbook</w:t>
            </w:r>
          </w:p>
          <w:p w:rsidR="00A237F0" w:rsidP="00461504" w:rsidRDefault="00A237F0" w14:paraId="61A69AE0" w14:textId="77777777">
            <w:pPr>
              <w:pStyle w:val="NoSpacing"/>
            </w:pPr>
            <w:r>
              <w:t>Student Contracts Policy</w:t>
            </w:r>
            <w:r w:rsidRPr="00F04FAB">
              <w:t xml:space="preserve"> </w:t>
            </w:r>
          </w:p>
          <w:p w:rsidR="00A237F0" w:rsidP="00461504" w:rsidRDefault="00A237F0" w14:paraId="61A69AE1" w14:textId="77777777">
            <w:pPr>
              <w:pStyle w:val="NoSpacing"/>
            </w:pPr>
            <w:r>
              <w:t>Student Behaviour/ Expectations Policy</w:t>
            </w:r>
          </w:p>
          <w:p w:rsidR="00A237F0" w:rsidP="00D639A6" w:rsidRDefault="00D639A6" w14:paraId="61A69AE2" w14:textId="07B3FB71">
            <w:pPr>
              <w:pStyle w:val="NoSpacing"/>
            </w:pPr>
            <w:r>
              <w:t>Safeguarding/child protection policy</w:t>
            </w:r>
          </w:p>
          <w:p w:rsidR="00565CF6" w:rsidP="00D639A6" w:rsidRDefault="00565CF6" w14:paraId="1EC1D9EC" w14:textId="406B4F0A">
            <w:pPr>
              <w:pStyle w:val="NoSpacing"/>
            </w:pPr>
            <w:r>
              <w:t>The Baker Clause 2018</w:t>
            </w:r>
          </w:p>
          <w:p w:rsidR="00065E1E" w:rsidP="00D639A6" w:rsidRDefault="00065E1E" w14:paraId="1857D00A" w14:textId="5A286DC4">
            <w:pPr>
              <w:pStyle w:val="NoSpacing"/>
            </w:pPr>
            <w:r>
              <w:lastRenderedPageBreak/>
              <w:t xml:space="preserve">Education Act </w:t>
            </w:r>
            <w:r w:rsidR="0096389C">
              <w:t>2011</w:t>
            </w:r>
          </w:p>
          <w:p w:rsidRPr="00F04FAB" w:rsidR="0096389C" w:rsidP="0096389C" w:rsidRDefault="0096389C" w14:paraId="61A69AE3" w14:textId="77C08EA4">
            <w:pPr>
              <w:pStyle w:val="NoSpacing"/>
            </w:pPr>
            <w:r>
              <w:t>Skills and Post-16 Act 2022</w:t>
            </w:r>
            <w:bookmarkStart w:name="_GoBack" w:id="0"/>
            <w:bookmarkEnd w:id="0"/>
          </w:p>
        </w:tc>
      </w:tr>
    </w:tbl>
    <w:p w:rsidR="00126E01" w:rsidP="00126E01" w:rsidRDefault="00126E01" w14:paraId="61A69AE5" w14:textId="77777777"/>
    <w:p w:rsidRPr="00126E01" w:rsidR="00126E01" w:rsidP="00126E01" w:rsidRDefault="00126E01" w14:paraId="61A69AE6" w14:textId="77777777"/>
    <w:sectPr w:rsidRPr="00126E01" w:rsidR="00126E0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8B4" w:rsidP="002378B4" w:rsidRDefault="002378B4" w14:paraId="5539A634" w14:textId="77777777">
      <w:pPr>
        <w:spacing w:after="0" w:line="240" w:lineRule="auto"/>
      </w:pPr>
      <w:r>
        <w:separator/>
      </w:r>
    </w:p>
  </w:endnote>
  <w:endnote w:type="continuationSeparator" w:id="0">
    <w:p w:rsidR="002378B4" w:rsidP="002378B4" w:rsidRDefault="002378B4" w14:paraId="630B8D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8B4" w:rsidP="002378B4" w:rsidRDefault="002378B4" w14:paraId="5B33EF9C" w14:textId="77777777">
      <w:pPr>
        <w:spacing w:after="0" w:line="240" w:lineRule="auto"/>
      </w:pPr>
      <w:r>
        <w:separator/>
      </w:r>
    </w:p>
  </w:footnote>
  <w:footnote w:type="continuationSeparator" w:id="0">
    <w:p w:rsidR="002378B4" w:rsidP="002378B4" w:rsidRDefault="002378B4" w14:paraId="6E0A408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530"/>
    <w:multiLevelType w:val="hybridMultilevel"/>
    <w:tmpl w:val="4696580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F40"/>
    <w:multiLevelType w:val="hybridMultilevel"/>
    <w:tmpl w:val="FFA89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158C5"/>
    <w:multiLevelType w:val="hybridMultilevel"/>
    <w:tmpl w:val="74F8E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782DE4"/>
    <w:multiLevelType w:val="hybridMultilevel"/>
    <w:tmpl w:val="6DE0B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4C2"/>
    <w:multiLevelType w:val="hybridMultilevel"/>
    <w:tmpl w:val="F398CD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061985"/>
    <w:multiLevelType w:val="hybridMultilevel"/>
    <w:tmpl w:val="92A68C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616E78"/>
    <w:multiLevelType w:val="multilevel"/>
    <w:tmpl w:val="2D0C7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1B8B"/>
    <w:multiLevelType w:val="hybridMultilevel"/>
    <w:tmpl w:val="8F1C8AF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4A8C1890"/>
    <w:multiLevelType w:val="multilevel"/>
    <w:tmpl w:val="2D0C7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4C99"/>
    <w:multiLevelType w:val="hybridMultilevel"/>
    <w:tmpl w:val="B6BE4A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DE094C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8D5D4B"/>
    <w:multiLevelType w:val="hybridMultilevel"/>
    <w:tmpl w:val="48EE5DCA"/>
    <w:lvl w:ilvl="0" w:tplc="C09A46C4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ajorEastAsia" w:cstheme="majorBidi"/>
        <w:color w:val="2E74B5" w:themeColor="accent1" w:themeShade="B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D268C"/>
    <w:multiLevelType w:val="hybridMultilevel"/>
    <w:tmpl w:val="FD0A1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C73C36"/>
    <w:multiLevelType w:val="hybridMultilevel"/>
    <w:tmpl w:val="2BB050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A90560"/>
    <w:multiLevelType w:val="hybridMultilevel"/>
    <w:tmpl w:val="C6AEB4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F375FC"/>
    <w:multiLevelType w:val="hybridMultilevel"/>
    <w:tmpl w:val="2D0C7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01"/>
    <w:rsid w:val="000129E7"/>
    <w:rsid w:val="00062CC9"/>
    <w:rsid w:val="00064463"/>
    <w:rsid w:val="00065E1E"/>
    <w:rsid w:val="00094709"/>
    <w:rsid w:val="000E5FCD"/>
    <w:rsid w:val="00126E01"/>
    <w:rsid w:val="001444F1"/>
    <w:rsid w:val="001A34F1"/>
    <w:rsid w:val="00222DAC"/>
    <w:rsid w:val="002378B4"/>
    <w:rsid w:val="0026380D"/>
    <w:rsid w:val="002C3930"/>
    <w:rsid w:val="002F1B39"/>
    <w:rsid w:val="00310534"/>
    <w:rsid w:val="003451DF"/>
    <w:rsid w:val="003470B9"/>
    <w:rsid w:val="00370722"/>
    <w:rsid w:val="00444C0E"/>
    <w:rsid w:val="004B3031"/>
    <w:rsid w:val="004B4E63"/>
    <w:rsid w:val="00565CF6"/>
    <w:rsid w:val="00567FBD"/>
    <w:rsid w:val="005C3009"/>
    <w:rsid w:val="007605A5"/>
    <w:rsid w:val="007913B0"/>
    <w:rsid w:val="00825523"/>
    <w:rsid w:val="00856244"/>
    <w:rsid w:val="00927393"/>
    <w:rsid w:val="0096389C"/>
    <w:rsid w:val="009874C6"/>
    <w:rsid w:val="009F394B"/>
    <w:rsid w:val="00A237F0"/>
    <w:rsid w:val="00A24F78"/>
    <w:rsid w:val="00A60A91"/>
    <w:rsid w:val="00AD7DF0"/>
    <w:rsid w:val="00B162F5"/>
    <w:rsid w:val="00B771EC"/>
    <w:rsid w:val="00B92A3F"/>
    <w:rsid w:val="00BF2204"/>
    <w:rsid w:val="00BF78E3"/>
    <w:rsid w:val="00CC5291"/>
    <w:rsid w:val="00D020B6"/>
    <w:rsid w:val="00D639A6"/>
    <w:rsid w:val="00D64F7C"/>
    <w:rsid w:val="00DC3DA9"/>
    <w:rsid w:val="00E602BA"/>
    <w:rsid w:val="00EB7C12"/>
    <w:rsid w:val="00F30285"/>
    <w:rsid w:val="00FB5C84"/>
    <w:rsid w:val="2E9D78C0"/>
    <w:rsid w:val="433B8767"/>
    <w:rsid w:val="4F93E88A"/>
    <w:rsid w:val="5F5D0C64"/>
    <w:rsid w:val="5FCF2545"/>
    <w:rsid w:val="60AEAD0F"/>
    <w:rsid w:val="6776F81B"/>
    <w:rsid w:val="6B3F0C48"/>
    <w:rsid w:val="6CFAA29B"/>
    <w:rsid w:val="745F3238"/>
    <w:rsid w:val="768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9A75"/>
  <w15:chartTrackingRefBased/>
  <w15:docId w15:val="{C666BCA8-0A6F-4423-BFAA-60FA9FA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E0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26E0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A237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74C6"/>
    <w:pPr>
      <w:ind w:left="720"/>
      <w:contextualSpacing/>
    </w:pPr>
  </w:style>
  <w:style w:type="character" w:styleId="Hyperlink">
    <w:name w:val="Hyperlink"/>
    <w:uiPriority w:val="99"/>
    <w:unhideWhenUsed/>
    <w:qFormat/>
    <w:rsid w:val="002C3930"/>
    <w:rPr>
      <w:rFonts w:ascii="Arial" w:hAnsi="Arial"/>
      <w:color w:val="0092CF"/>
      <w:sz w:val="20"/>
      <w:u w:val="single"/>
    </w:rPr>
  </w:style>
  <w:style w:type="table" w:styleId="TableGrid">
    <w:name w:val="Table Grid"/>
    <w:basedOn w:val="TableNormal"/>
    <w:uiPriority w:val="39"/>
    <w:rsid w:val="00E602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378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8B4"/>
  </w:style>
  <w:style w:type="paragraph" w:styleId="Footer">
    <w:name w:val="footer"/>
    <w:basedOn w:val="Normal"/>
    <w:link w:val="FooterChar"/>
    <w:uiPriority w:val="99"/>
    <w:unhideWhenUsed/>
    <w:rsid w:val="002378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8B4"/>
  </w:style>
  <w:style w:type="character" w:styleId="UnresolvedMention">
    <w:name w:val="Unresolved Mention"/>
    <w:basedOn w:val="DefaultParagraphFont"/>
    <w:uiPriority w:val="99"/>
    <w:semiHidden/>
    <w:unhideWhenUsed/>
    <w:rsid w:val="001A3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areers@bolton-sfc.ac.uk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jwhitham@bolton-sfc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Lesley Hart</dc:creator>
  <keywords/>
  <dc:description/>
  <lastModifiedBy>Jill Whitham</lastModifiedBy>
  <revision>3</revision>
  <dcterms:created xsi:type="dcterms:W3CDTF">2022-07-06T08:02:00.0000000Z</dcterms:created>
  <dcterms:modified xsi:type="dcterms:W3CDTF">2022-10-07T13:11:36.8042462Z</dcterms:modified>
</coreProperties>
</file>