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F53A8" w:rsidP="00B4041C" w:rsidRDefault="00FC2A4C" w14:paraId="763E457C" w14:textId="7777777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3204DEC" wp14:editId="07777777">
            <wp:simplePos x="0" y="0"/>
            <wp:positionH relativeFrom="margin">
              <wp:posOffset>4162425</wp:posOffset>
            </wp:positionH>
            <wp:positionV relativeFrom="paragraph">
              <wp:posOffset>-714375</wp:posOffset>
            </wp:positionV>
            <wp:extent cx="2273717" cy="13282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xth Form Bolton 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717" cy="1328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3A8">
        <w:rPr>
          <w:b/>
          <w:sz w:val="24"/>
          <w:szCs w:val="24"/>
        </w:rPr>
        <w:t xml:space="preserve">  </w:t>
      </w:r>
    </w:p>
    <w:p w:rsidR="00FC2A4C" w:rsidP="000F53A8" w:rsidRDefault="00FC2A4C" w14:paraId="672A6659" w14:textId="77777777">
      <w:pPr>
        <w:jc w:val="center"/>
        <w:rPr>
          <w:b/>
          <w:sz w:val="24"/>
          <w:szCs w:val="24"/>
        </w:rPr>
      </w:pPr>
    </w:p>
    <w:p w:rsidR="000F53A8" w:rsidP="000F53A8" w:rsidRDefault="000F53A8" w14:paraId="10AB3324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Careers Education, Information, Advice and Guidance</w:t>
      </w:r>
      <w:r w:rsidR="00F91321">
        <w:rPr>
          <w:b/>
          <w:sz w:val="24"/>
          <w:szCs w:val="24"/>
        </w:rPr>
        <w:t>, (CEIAG)</w:t>
      </w:r>
      <w:r>
        <w:rPr>
          <w:b/>
          <w:sz w:val="24"/>
          <w:szCs w:val="24"/>
        </w:rPr>
        <w:t xml:space="preserve"> Policy</w:t>
      </w:r>
    </w:p>
    <w:p w:rsidRPr="00B4041C" w:rsidR="00B4041C" w:rsidP="00B4041C" w:rsidRDefault="00B4041C" w14:paraId="726ABD8E" w14:textId="77777777">
      <w:pPr>
        <w:rPr>
          <w:b/>
          <w:sz w:val="24"/>
          <w:szCs w:val="24"/>
        </w:rPr>
      </w:pPr>
      <w:r w:rsidRPr="00B4041C">
        <w:rPr>
          <w:b/>
          <w:sz w:val="24"/>
          <w:szCs w:val="24"/>
        </w:rPr>
        <w:t>Rationale</w:t>
      </w:r>
    </w:p>
    <w:p w:rsidRPr="00986D10" w:rsidR="008E2CD1" w:rsidP="008E2CD1" w:rsidRDefault="008E2CD1" w14:paraId="1C9D5C80" w14:textId="77777777">
      <w:pPr>
        <w:spacing w:after="0" w:line="240" w:lineRule="auto"/>
      </w:pPr>
      <w:r>
        <w:t xml:space="preserve">At </w:t>
      </w:r>
      <w:proofErr w:type="gramStart"/>
      <w:r w:rsidR="00FC2A4C">
        <w:t>The</w:t>
      </w:r>
      <w:proofErr w:type="gramEnd"/>
      <w:r w:rsidR="00FC2A4C">
        <w:t xml:space="preserve"> S</w:t>
      </w:r>
      <w:r>
        <w:t>ixth Form, CEIAG is embedded into all areas of the curriculum</w:t>
      </w:r>
      <w:r w:rsidR="00473368">
        <w:t xml:space="preserve">, so that our students are </w:t>
      </w:r>
      <w:r w:rsidRPr="00986D10">
        <w:t>well informed and equipped for the next step of their career journey. We support students to ensure that they:</w:t>
      </w:r>
    </w:p>
    <w:p w:rsidRPr="00986D10" w:rsidR="008E2CD1" w:rsidP="008E2CD1" w:rsidRDefault="008E2CD1" w14:paraId="0DF3C318" w14:textId="77777777">
      <w:pPr>
        <w:numPr>
          <w:ilvl w:val="0"/>
          <w:numId w:val="1"/>
        </w:numPr>
        <w:spacing w:after="0" w:line="240" w:lineRule="auto"/>
      </w:pPr>
      <w:r>
        <w:t>Develop self-awareness of their skills, strengths and interests in relation to higher education and career options.</w:t>
      </w:r>
    </w:p>
    <w:p w:rsidRPr="00986D10" w:rsidR="008E2CD1" w:rsidP="008E2CD1" w:rsidRDefault="008E2CD1" w14:paraId="2636DC5E" w14:textId="77777777">
      <w:pPr>
        <w:numPr>
          <w:ilvl w:val="0"/>
          <w:numId w:val="1"/>
        </w:numPr>
        <w:spacing w:after="0" w:line="240" w:lineRule="auto"/>
      </w:pPr>
      <w:r>
        <w:t xml:space="preserve">Research their career ideas and HE </w:t>
      </w:r>
      <w:proofErr w:type="gramStart"/>
      <w:r>
        <w:t>goals</w:t>
      </w:r>
      <w:proofErr w:type="gramEnd"/>
      <w:r>
        <w:t>.</w:t>
      </w:r>
    </w:p>
    <w:p w:rsidRPr="00986D10" w:rsidR="008E2CD1" w:rsidP="008E2CD1" w:rsidRDefault="008E2CD1" w14:paraId="1203E11A" w14:textId="77777777">
      <w:pPr>
        <w:numPr>
          <w:ilvl w:val="0"/>
          <w:numId w:val="1"/>
        </w:numPr>
        <w:spacing w:after="0" w:line="240" w:lineRule="auto"/>
      </w:pPr>
      <w:r>
        <w:t>Understand Labour market Information and its impact on the choices that they make.</w:t>
      </w:r>
    </w:p>
    <w:p w:rsidR="00473368" w:rsidP="00312F28" w:rsidRDefault="007449E0" w14:paraId="0E261EDC" w14:textId="77777777">
      <w:pPr>
        <w:pStyle w:val="ListParagraph"/>
        <w:numPr>
          <w:ilvl w:val="0"/>
          <w:numId w:val="1"/>
        </w:numPr>
      </w:pPr>
      <w:r>
        <w:t xml:space="preserve">Can confidently demonstrate the </w:t>
      </w:r>
      <w:r w:rsidR="008E2CD1">
        <w:t>key employability skills</w:t>
      </w:r>
      <w:r w:rsidR="00474960">
        <w:t xml:space="preserve"> required by employers</w:t>
      </w:r>
      <w:r w:rsidR="00CA6247">
        <w:t>.</w:t>
      </w:r>
    </w:p>
    <w:p w:rsidRPr="00F91321" w:rsidR="00B4041C" w:rsidP="008E2CD1" w:rsidRDefault="00B4041C" w14:paraId="57255E15" w14:textId="77777777">
      <w:pPr>
        <w:rPr>
          <w:b/>
          <w:sz w:val="24"/>
          <w:szCs w:val="24"/>
        </w:rPr>
      </w:pPr>
      <w:r w:rsidRPr="00F91321">
        <w:rPr>
          <w:b/>
          <w:sz w:val="24"/>
          <w:szCs w:val="24"/>
        </w:rPr>
        <w:t>Aims</w:t>
      </w:r>
    </w:p>
    <w:p w:rsidR="00986D10" w:rsidP="00195605" w:rsidRDefault="007449E0" w14:paraId="60BFFE9F" w14:textId="44458AB3">
      <w:pPr>
        <w:numPr>
          <w:ilvl w:val="0"/>
          <w:numId w:val="4"/>
        </w:numPr>
        <w:spacing w:after="0" w:line="240" w:lineRule="auto"/>
      </w:pPr>
      <w:r>
        <w:t>To</w:t>
      </w:r>
      <w:r w:rsidR="00A565F0">
        <w:t xml:space="preserve"> develop </w:t>
      </w:r>
      <w:r w:rsidR="00B91345">
        <w:t xml:space="preserve">employability </w:t>
      </w:r>
      <w:r w:rsidR="00FC130C">
        <w:t xml:space="preserve">skills </w:t>
      </w:r>
      <w:r w:rsidR="00A565F0">
        <w:t xml:space="preserve">by offering </w:t>
      </w:r>
      <w:r w:rsidR="00B91345">
        <w:t>careers-related activities</w:t>
      </w:r>
      <w:r w:rsidR="00A565F0">
        <w:t xml:space="preserve"> </w:t>
      </w:r>
      <w:r w:rsidR="754B0915">
        <w:t>within</w:t>
      </w:r>
      <w:r w:rsidR="00A565F0">
        <w:t xml:space="preserve"> the curriculum, </w:t>
      </w:r>
      <w:r w:rsidR="3DCFFC74">
        <w:t xml:space="preserve">delivering </w:t>
      </w:r>
      <w:r w:rsidR="006D0F0B">
        <w:t xml:space="preserve">the </w:t>
      </w:r>
      <w:r w:rsidR="006858ED">
        <w:t>Professional Growth Programme</w:t>
      </w:r>
      <w:r w:rsidR="00AF6DBD">
        <w:t xml:space="preserve"> and </w:t>
      </w:r>
      <w:r w:rsidR="00A565F0">
        <w:t xml:space="preserve">providing </w:t>
      </w:r>
      <w:r w:rsidR="7EC0648A">
        <w:t xml:space="preserve">opportunities for students to undertake </w:t>
      </w:r>
      <w:r w:rsidR="00A565F0">
        <w:t>work experience.</w:t>
      </w:r>
    </w:p>
    <w:p w:rsidR="001547D8" w:rsidP="1572EFF4" w:rsidRDefault="00CA6247" w14:paraId="6B342F87" w14:textId="63D6D152">
      <w:pPr>
        <w:numPr>
          <w:ilvl w:val="0"/>
          <w:numId w:val="4"/>
        </w:numPr>
        <w:spacing w:after="0" w:line="240" w:lineRule="auto"/>
        <w:rPr>
          <w:rFonts w:eastAsiaTheme="minorEastAsia"/>
        </w:rPr>
      </w:pPr>
      <w:r>
        <w:t>To offer all students the opportunity for careers guidance with a qualifie</w:t>
      </w:r>
      <w:r w:rsidR="001547D8">
        <w:t>d careers guidance practitioner</w:t>
      </w:r>
      <w:r w:rsidR="3B2C15E3">
        <w:t xml:space="preserve">, </w:t>
      </w:r>
      <w:r w:rsidR="4719897D">
        <w:t>(</w:t>
      </w:r>
      <w:r w:rsidR="736A64B0">
        <w:t>s</w:t>
      </w:r>
      <w:r w:rsidR="001547D8">
        <w:t xml:space="preserve">tudents </w:t>
      </w:r>
      <w:r w:rsidR="73EE96D2">
        <w:t xml:space="preserve">can </w:t>
      </w:r>
      <w:r w:rsidR="001547D8">
        <w:t xml:space="preserve">self-refer </w:t>
      </w:r>
      <w:r w:rsidR="218590B8">
        <w:t xml:space="preserve">for </w:t>
      </w:r>
      <w:r w:rsidR="001547D8">
        <w:t>careers guidance appointments</w:t>
      </w:r>
      <w:r w:rsidR="4D14AA24">
        <w:t xml:space="preserve"> at any point during their time with us</w:t>
      </w:r>
      <w:r w:rsidR="3DBD565E">
        <w:t>).</w:t>
      </w:r>
    </w:p>
    <w:p w:rsidR="00B4041C" w:rsidP="00195605" w:rsidRDefault="00B4041C" w14:paraId="5576E214" w14:textId="1EC0959C">
      <w:pPr>
        <w:numPr>
          <w:ilvl w:val="0"/>
          <w:numId w:val="4"/>
        </w:numPr>
        <w:spacing w:after="0" w:line="240" w:lineRule="auto"/>
      </w:pPr>
      <w:r>
        <w:t>To support inclusion, challenge stereotyp</w:t>
      </w:r>
      <w:r w:rsidR="21236E70">
        <w:t>es</w:t>
      </w:r>
      <w:r>
        <w:t xml:space="preserve"> and promote equality of</w:t>
      </w:r>
      <w:r w:rsidR="00986D10">
        <w:t xml:space="preserve"> </w:t>
      </w:r>
      <w:r>
        <w:t>opportunity</w:t>
      </w:r>
      <w:r w:rsidR="00BA2B6A">
        <w:t xml:space="preserve"> across all areas of the </w:t>
      </w:r>
      <w:r w:rsidR="4EACE1AB">
        <w:t>sixth form</w:t>
      </w:r>
      <w:r>
        <w:t>.</w:t>
      </w:r>
    </w:p>
    <w:p w:rsidR="007C66FD" w:rsidP="00195605" w:rsidRDefault="007C66FD" w14:paraId="4261D341" w14:textId="244B5B6E">
      <w:pPr>
        <w:numPr>
          <w:ilvl w:val="0"/>
          <w:numId w:val="4"/>
        </w:numPr>
        <w:spacing w:after="0" w:line="240" w:lineRule="auto"/>
      </w:pPr>
      <w:r>
        <w:t>To work closely with key partners with</w:t>
      </w:r>
      <w:r w:rsidR="3F6292B4">
        <w:t>in</w:t>
      </w:r>
      <w:r>
        <w:t xml:space="preserve"> higher education and employment, so that st</w:t>
      </w:r>
      <w:r w:rsidR="00161A89">
        <w:t>udents have direct access to</w:t>
      </w:r>
      <w:r w:rsidR="00BA2B6A">
        <w:t xml:space="preserve"> relevant and accurate</w:t>
      </w:r>
      <w:r w:rsidR="00161A89">
        <w:t xml:space="preserve"> information</w:t>
      </w:r>
      <w:r w:rsidR="337F4672">
        <w:t xml:space="preserve"> </w:t>
      </w:r>
      <w:r w:rsidR="5341096B">
        <w:t>which</w:t>
      </w:r>
      <w:r w:rsidR="00161A89">
        <w:t xml:space="preserve"> relat</w:t>
      </w:r>
      <w:r w:rsidR="01528158">
        <w:t>es</w:t>
      </w:r>
      <w:r w:rsidR="00161A89">
        <w:t xml:space="preserve"> to their post-sixth-form career goals.</w:t>
      </w:r>
    </w:p>
    <w:p w:rsidR="00FF0264" w:rsidP="00195605" w:rsidRDefault="00FF0264" w14:paraId="58E62F6E" w14:textId="5D0524AD">
      <w:pPr>
        <w:numPr>
          <w:ilvl w:val="0"/>
          <w:numId w:val="4"/>
        </w:numPr>
        <w:spacing w:after="0" w:line="240" w:lineRule="auto"/>
      </w:pPr>
      <w:r>
        <w:t>To enable parents and carers to support their son/daughter in their career planning, by providing access to key sources of careers information online and via in-</w:t>
      </w:r>
      <w:r w:rsidR="007674DC">
        <w:t>college</w:t>
      </w:r>
      <w:r>
        <w:t xml:space="preserve"> activities such as the Parents </w:t>
      </w:r>
      <w:r w:rsidR="006858ED">
        <w:t xml:space="preserve">Progression </w:t>
      </w:r>
      <w:r w:rsidR="640871AF">
        <w:t>I</w:t>
      </w:r>
      <w:r>
        <w:t xml:space="preserve">nformation </w:t>
      </w:r>
      <w:r w:rsidR="00FC130C">
        <w:t>evening</w:t>
      </w:r>
      <w:r>
        <w:t xml:space="preserve">. </w:t>
      </w:r>
    </w:p>
    <w:p w:rsidR="00161A89" w:rsidP="00195605" w:rsidRDefault="00161A89" w14:paraId="721A4A3A" w14:textId="7A5BC4E3">
      <w:pPr>
        <w:numPr>
          <w:ilvl w:val="0"/>
          <w:numId w:val="4"/>
        </w:numPr>
        <w:spacing w:after="0" w:line="240" w:lineRule="auto"/>
      </w:pPr>
      <w:r>
        <w:t xml:space="preserve">To </w:t>
      </w:r>
      <w:r w:rsidR="28E2A43E">
        <w:t>offer all</w:t>
      </w:r>
      <w:r>
        <w:t xml:space="preserve"> staff </w:t>
      </w:r>
      <w:r w:rsidR="7F365D92">
        <w:t>th</w:t>
      </w:r>
      <w:r>
        <w:t>e opportunity for CPD in relation CEIAG</w:t>
      </w:r>
    </w:p>
    <w:p w:rsidR="00161A89" w:rsidP="00195605" w:rsidRDefault="00073962" w14:paraId="29F37FD8" w14:textId="1DBFE3A3">
      <w:pPr>
        <w:numPr>
          <w:ilvl w:val="0"/>
          <w:numId w:val="4"/>
        </w:numPr>
        <w:spacing w:after="0" w:line="240" w:lineRule="auto"/>
      </w:pPr>
      <w:r>
        <w:t>To provide students with up-to-date careers material via</w:t>
      </w:r>
      <w:r w:rsidR="689896F8">
        <w:t>:</w:t>
      </w:r>
      <w:r w:rsidR="00EF1F1E">
        <w:t xml:space="preserve"> </w:t>
      </w:r>
      <w:r w:rsidR="5A94F763">
        <w:t>T</w:t>
      </w:r>
      <w:r w:rsidR="00EF1F1E">
        <w:t>he</w:t>
      </w:r>
      <w:r w:rsidR="43CD6D46">
        <w:t xml:space="preserve"> careers resource area; the</w:t>
      </w:r>
      <w:r w:rsidR="00EF1F1E">
        <w:t xml:space="preserve"> </w:t>
      </w:r>
      <w:r w:rsidR="687CBEE5">
        <w:t xml:space="preserve">TEAMs </w:t>
      </w:r>
      <w:r w:rsidR="79C2C1FA">
        <w:t>v</w:t>
      </w:r>
      <w:r w:rsidR="687CBEE5">
        <w:t xml:space="preserve">irtual </w:t>
      </w:r>
      <w:r w:rsidR="0A6DEBA7">
        <w:t>c</w:t>
      </w:r>
      <w:r w:rsidR="687CBEE5">
        <w:t xml:space="preserve">areers </w:t>
      </w:r>
      <w:r w:rsidR="7DA5F353">
        <w:t>r</w:t>
      </w:r>
      <w:r w:rsidR="687CBEE5">
        <w:t xml:space="preserve">esource </w:t>
      </w:r>
      <w:r w:rsidR="419649FD">
        <w:t>l</w:t>
      </w:r>
      <w:r w:rsidR="687CBEE5">
        <w:t>ibrary</w:t>
      </w:r>
      <w:r w:rsidR="18DD02B3">
        <w:t>; other</w:t>
      </w:r>
      <w:r>
        <w:t xml:space="preserve"> online resources</w:t>
      </w:r>
      <w:r w:rsidR="00EF1F1E">
        <w:t xml:space="preserve"> and</w:t>
      </w:r>
      <w:r w:rsidR="3794D6D3">
        <w:t xml:space="preserve"> on</w:t>
      </w:r>
      <w:r w:rsidR="00EF1F1E">
        <w:t xml:space="preserve"> noticeboards around the sixth form.</w:t>
      </w:r>
    </w:p>
    <w:p w:rsidR="00EF1F1E" w:rsidP="00195605" w:rsidRDefault="00EF1F1E" w14:paraId="52903776" w14:textId="60432F00">
      <w:pPr>
        <w:numPr>
          <w:ilvl w:val="0"/>
          <w:numId w:val="4"/>
        </w:numPr>
        <w:spacing w:after="0" w:line="240" w:lineRule="auto"/>
      </w:pPr>
      <w:r>
        <w:t xml:space="preserve">To gather intended destination information at enrolment, which will enable the sixth form to </w:t>
      </w:r>
      <w:r w:rsidR="00F65DEF">
        <w:t xml:space="preserve">identify </w:t>
      </w:r>
      <w:r w:rsidR="67B5626C">
        <w:t xml:space="preserve">and </w:t>
      </w:r>
      <w:r>
        <w:t xml:space="preserve">provide appropriate and relevant careers </w:t>
      </w:r>
      <w:r w:rsidR="00F65DEF">
        <w:t>activities for students.</w:t>
      </w:r>
    </w:p>
    <w:p w:rsidR="00F65DEF" w:rsidP="00195605" w:rsidRDefault="00F65DEF" w14:paraId="4C4234D6" w14:textId="00C41781">
      <w:pPr>
        <w:numPr>
          <w:ilvl w:val="0"/>
          <w:numId w:val="4"/>
        </w:numPr>
        <w:spacing w:after="0" w:line="240" w:lineRule="auto"/>
      </w:pPr>
      <w:r>
        <w:t xml:space="preserve">To work closely with key-staff in </w:t>
      </w:r>
      <w:r w:rsidR="00BD5749">
        <w:t>learning support</w:t>
      </w:r>
      <w:r>
        <w:t xml:space="preserve">, so that students with additional </w:t>
      </w:r>
      <w:r w:rsidR="0960D1D0">
        <w:t xml:space="preserve">and higher </w:t>
      </w:r>
      <w:r>
        <w:t xml:space="preserve">needs have access to appropriate </w:t>
      </w:r>
      <w:r w:rsidR="2D2C2231">
        <w:t xml:space="preserve">and timely </w:t>
      </w:r>
      <w:r>
        <w:t>careers information, advice and guidance.</w:t>
      </w:r>
    </w:p>
    <w:p w:rsidR="00F65DEF" w:rsidP="00195605" w:rsidRDefault="00F65DEF" w14:paraId="59AC979C" w14:textId="2A5EBF35">
      <w:pPr>
        <w:numPr>
          <w:ilvl w:val="0"/>
          <w:numId w:val="4"/>
        </w:numPr>
        <w:spacing w:after="0" w:line="240" w:lineRule="auto"/>
      </w:pPr>
      <w:r>
        <w:t xml:space="preserve">To work closely with </w:t>
      </w:r>
      <w:r w:rsidR="4707D505">
        <w:t>Progress Tutors</w:t>
      </w:r>
      <w:r>
        <w:t xml:space="preserve">, to ensure students who are at risk of becoming ‘NEET,’ receive </w:t>
      </w:r>
      <w:r w:rsidR="00105E3B">
        <w:t>timely interventions from the careers team</w:t>
      </w:r>
      <w:r w:rsidR="4BE3B2C7">
        <w:t xml:space="preserve"> and (where appropriate), referred to external careers support services.</w:t>
      </w:r>
    </w:p>
    <w:p w:rsidR="00105E3B" w:rsidP="00195605" w:rsidRDefault="00105E3B" w14:paraId="09396004" w14:textId="77777777">
      <w:pPr>
        <w:numPr>
          <w:ilvl w:val="0"/>
          <w:numId w:val="4"/>
        </w:numPr>
        <w:spacing w:after="0" w:line="240" w:lineRule="auto"/>
      </w:pPr>
      <w:r>
        <w:t>To closely monitor the quality of the in-college careers provision via student, staff and parental surveys</w:t>
      </w:r>
      <w:r w:rsidR="00B72E5C">
        <w:t>.</w:t>
      </w:r>
    </w:p>
    <w:p w:rsidR="00765522" w:rsidP="00765522" w:rsidRDefault="00765522" w14:paraId="0A37501D" w14:textId="77777777">
      <w:pPr>
        <w:spacing w:after="0" w:line="240" w:lineRule="auto"/>
      </w:pPr>
    </w:p>
    <w:p w:rsidRPr="00F91321" w:rsidR="00B4041C" w:rsidP="00B4041C" w:rsidRDefault="00B4041C" w14:paraId="1CB9EE18" w14:textId="77777777">
      <w:pPr>
        <w:rPr>
          <w:sz w:val="24"/>
          <w:szCs w:val="24"/>
        </w:rPr>
      </w:pPr>
      <w:r w:rsidRPr="00F91321">
        <w:rPr>
          <w:b/>
          <w:sz w:val="24"/>
          <w:szCs w:val="24"/>
        </w:rPr>
        <w:t>Implementation</w:t>
      </w:r>
    </w:p>
    <w:p w:rsidR="00001FD6" w:rsidP="00F91321" w:rsidRDefault="658AF665" w14:paraId="48A94C74" w14:textId="411EE896">
      <w:pPr>
        <w:pStyle w:val="ListParagraph"/>
        <w:numPr>
          <w:ilvl w:val="0"/>
          <w:numId w:val="7"/>
        </w:numPr>
      </w:pPr>
      <w:r>
        <w:t>Careers resource area</w:t>
      </w:r>
      <w:r w:rsidR="00B4041C">
        <w:t xml:space="preserve"> </w:t>
      </w:r>
      <w:r w:rsidR="00001FD6">
        <w:t>– a range of materials</w:t>
      </w:r>
      <w:r w:rsidR="74AA6997">
        <w:t xml:space="preserve">, </w:t>
      </w:r>
      <w:r w:rsidR="00001FD6">
        <w:t>careers-related books</w:t>
      </w:r>
      <w:r w:rsidR="79E7F1B2">
        <w:t xml:space="preserve"> and</w:t>
      </w:r>
      <w:r w:rsidR="00001FD6">
        <w:t xml:space="preserve"> university</w:t>
      </w:r>
      <w:r w:rsidR="00B4041C">
        <w:t xml:space="preserve"> prospectus</w:t>
      </w:r>
      <w:r w:rsidR="00FB0FB3">
        <w:t>es.</w:t>
      </w:r>
    </w:p>
    <w:p w:rsidR="7BB5FF41" w:rsidP="1572EFF4" w:rsidRDefault="7BB5FF41" w14:paraId="23FEBBD3" w14:textId="75B68A15">
      <w:pPr>
        <w:pStyle w:val="ListParagraph"/>
        <w:numPr>
          <w:ilvl w:val="0"/>
          <w:numId w:val="7"/>
        </w:numPr>
      </w:pPr>
      <w:r>
        <w:lastRenderedPageBreak/>
        <w:t>Virtual TEAMs careers resource library – contains a variety of career and university subject videos, which students can browse and watch at their leisure.</w:t>
      </w:r>
    </w:p>
    <w:p w:rsidR="00B4041C" w:rsidP="00F91321" w:rsidRDefault="00B4041C" w14:paraId="140F216F" w14:textId="77777777">
      <w:pPr>
        <w:pStyle w:val="ListParagraph"/>
        <w:numPr>
          <w:ilvl w:val="0"/>
          <w:numId w:val="7"/>
        </w:numPr>
      </w:pPr>
      <w:r>
        <w:t xml:space="preserve"> </w:t>
      </w:r>
      <w:r w:rsidR="00204E30">
        <w:t>Careers notice boards</w:t>
      </w:r>
      <w:r>
        <w:t xml:space="preserve"> –</w:t>
      </w:r>
      <w:r w:rsidR="00204E30">
        <w:t xml:space="preserve"> Key information on digital screens around college. Notice boards with specific information on employability and university provision.</w:t>
      </w:r>
    </w:p>
    <w:p w:rsidR="00FB0FB3" w:rsidP="00FB0FB3" w:rsidRDefault="00FB0FB3" w14:paraId="0DD436A2" w14:textId="5163288B">
      <w:pPr>
        <w:pStyle w:val="ListParagraph"/>
        <w:numPr>
          <w:ilvl w:val="0"/>
          <w:numId w:val="7"/>
        </w:numPr>
      </w:pPr>
      <w:r>
        <w:t>Career exploration and</w:t>
      </w:r>
      <w:r w:rsidR="1D530CB7">
        <w:t xml:space="preserve"> work experience </w:t>
      </w:r>
      <w:r>
        <w:t>opportunities are shared with students and staff via the TEAMS platform as well as information on CV writing, personal statement writing, interview technique etc.</w:t>
      </w:r>
    </w:p>
    <w:p w:rsidR="00FB0FB3" w:rsidP="00F91321" w:rsidRDefault="00FB0FB3" w14:paraId="1CF39DB0" w14:textId="57DBE2A2">
      <w:pPr>
        <w:pStyle w:val="ListParagraph"/>
        <w:numPr>
          <w:ilvl w:val="0"/>
          <w:numId w:val="7"/>
        </w:numPr>
      </w:pPr>
      <w:r>
        <w:t xml:space="preserve">Careers learning and exploration opportunities </w:t>
      </w:r>
      <w:r w:rsidR="43E7CBA3">
        <w:t xml:space="preserve">are </w:t>
      </w:r>
      <w:r>
        <w:t xml:space="preserve">promoted to staff and students via the </w:t>
      </w:r>
      <w:r w:rsidR="006858ED">
        <w:t>monthly</w:t>
      </w:r>
      <w:r>
        <w:t xml:space="preserve"> newsletter</w:t>
      </w:r>
      <w:r w:rsidR="1054A0FA">
        <w:t xml:space="preserve"> and during tutor group sessions.</w:t>
      </w:r>
    </w:p>
    <w:p w:rsidR="00B4041C" w:rsidP="00F91321" w:rsidRDefault="00B4041C" w14:paraId="6C191D45" w14:textId="6E65F5FB">
      <w:pPr>
        <w:pStyle w:val="ListParagraph"/>
        <w:numPr>
          <w:ilvl w:val="0"/>
          <w:numId w:val="7"/>
        </w:numPr>
      </w:pPr>
      <w:r>
        <w:t>Careers Advis</w:t>
      </w:r>
      <w:r w:rsidR="006858ED">
        <w:t>e</w:t>
      </w:r>
      <w:r>
        <w:t xml:space="preserve">r – available </w:t>
      </w:r>
      <w:r w:rsidR="00DF7526">
        <w:t>for appointments 5 days a week.</w:t>
      </w:r>
    </w:p>
    <w:p w:rsidR="00DF7526" w:rsidP="00F91321" w:rsidRDefault="00DF7526" w14:paraId="4E0E107F" w14:textId="589A96E4">
      <w:pPr>
        <w:pStyle w:val="ListParagraph"/>
        <w:numPr>
          <w:ilvl w:val="0"/>
          <w:numId w:val="7"/>
        </w:numPr>
      </w:pPr>
      <w:r>
        <w:t>Annual Careers day – including careers marketplace and careers/university workshops.</w:t>
      </w:r>
    </w:p>
    <w:p w:rsidR="00DF7526" w:rsidP="00F91321" w:rsidRDefault="006858ED" w14:paraId="2DFB8B7E" w14:textId="115AC67F">
      <w:pPr>
        <w:pStyle w:val="ListParagraph"/>
        <w:numPr>
          <w:ilvl w:val="0"/>
          <w:numId w:val="7"/>
        </w:numPr>
      </w:pPr>
      <w:r>
        <w:t>Progression</w:t>
      </w:r>
      <w:r w:rsidR="00DF7526">
        <w:t xml:space="preserve"> information evening for parents</w:t>
      </w:r>
      <w:r>
        <w:t>,</w:t>
      </w:r>
      <w:r w:rsidR="00B4041C">
        <w:t xml:space="preserve"> </w:t>
      </w:r>
      <w:r w:rsidR="36397BB5">
        <w:t>covering</w:t>
      </w:r>
      <w:r w:rsidR="00DF7526">
        <w:t xml:space="preserve"> </w:t>
      </w:r>
      <w:r w:rsidR="70CB4D53">
        <w:t>the h</w:t>
      </w:r>
      <w:r w:rsidR="4338D975">
        <w:t xml:space="preserve">igher </w:t>
      </w:r>
      <w:r w:rsidR="7D5FFC59">
        <w:t>e</w:t>
      </w:r>
      <w:r w:rsidR="5F77B6FC">
        <w:t>ducation</w:t>
      </w:r>
      <w:r w:rsidR="583AFF49">
        <w:t xml:space="preserve"> application and finance system</w:t>
      </w:r>
      <w:r w:rsidR="5F77B6FC">
        <w:t xml:space="preserve"> </w:t>
      </w:r>
      <w:r w:rsidR="00DF7526">
        <w:t xml:space="preserve">and degree </w:t>
      </w:r>
      <w:r w:rsidR="00765522">
        <w:t>apprenticeships</w:t>
      </w:r>
      <w:r w:rsidR="00DF7526">
        <w:t>.</w:t>
      </w:r>
    </w:p>
    <w:p w:rsidR="00B4041C" w:rsidP="00F91321" w:rsidRDefault="00DF7526" w14:paraId="751A8DB4" w14:textId="77777777">
      <w:pPr>
        <w:pStyle w:val="ListParagraph"/>
        <w:numPr>
          <w:ilvl w:val="0"/>
          <w:numId w:val="7"/>
        </w:numPr>
      </w:pPr>
      <w:r>
        <w:t>Weekly tutor groups which offer students the opportunity explore and prepare for life after sixth-from.</w:t>
      </w:r>
    </w:p>
    <w:p w:rsidR="00B4041C" w:rsidP="00F91321" w:rsidRDefault="00E803B8" w14:paraId="5A070698" w14:textId="19D0AE03">
      <w:pPr>
        <w:pStyle w:val="ListParagraph"/>
        <w:numPr>
          <w:ilvl w:val="0"/>
          <w:numId w:val="7"/>
        </w:numPr>
      </w:pPr>
      <w:r>
        <w:t>Visits to universities and empl</w:t>
      </w:r>
      <w:r w:rsidR="007674DC">
        <w:t>oyment sector</w:t>
      </w:r>
      <w:r w:rsidR="006858ED">
        <w:t>s</w:t>
      </w:r>
      <w:r w:rsidR="007674DC">
        <w:t xml:space="preserve"> via</w:t>
      </w:r>
      <w:r>
        <w:t xml:space="preserve"> subject areas</w:t>
      </w:r>
      <w:r w:rsidR="006858ED">
        <w:t xml:space="preserve"> and careers department.</w:t>
      </w:r>
    </w:p>
    <w:p w:rsidR="006858ED" w:rsidP="00F91321" w:rsidRDefault="006858ED" w14:paraId="75B06FE5" w14:textId="2AEFF691">
      <w:pPr>
        <w:pStyle w:val="ListParagraph"/>
        <w:numPr>
          <w:ilvl w:val="0"/>
          <w:numId w:val="7"/>
        </w:numPr>
      </w:pPr>
      <w:r>
        <w:t>Students encouraged to get involved in the wide range of enrichment activities during their time at The Sixth Form.</w:t>
      </w:r>
    </w:p>
    <w:p w:rsidR="00B4041C" w:rsidP="00F91321" w:rsidRDefault="00F91609" w14:paraId="71B63EE6" w14:textId="77777777">
      <w:pPr>
        <w:pStyle w:val="ListParagraph"/>
        <w:numPr>
          <w:ilvl w:val="0"/>
          <w:numId w:val="7"/>
        </w:numPr>
      </w:pPr>
      <w:r>
        <w:t>Labour market/careers information displayed in classrooms.</w:t>
      </w:r>
    </w:p>
    <w:p w:rsidR="00D34F9E" w:rsidP="00F91321" w:rsidRDefault="00C341F4" w14:paraId="4AC249F8" w14:textId="30B38B38">
      <w:pPr>
        <w:pStyle w:val="ListParagraph"/>
        <w:numPr>
          <w:ilvl w:val="0"/>
          <w:numId w:val="7"/>
        </w:numPr>
      </w:pPr>
      <w:r>
        <w:t>Bespoke careers-related talks and workshops offered throughout the academic year and delivered by</w:t>
      </w:r>
      <w:r w:rsidR="00433E7D">
        <w:t xml:space="preserve"> a range of organisations</w:t>
      </w:r>
      <w:r>
        <w:t xml:space="preserve"> </w:t>
      </w:r>
      <w:r w:rsidR="6E1517B6">
        <w:t>including,</w:t>
      </w:r>
      <w:r>
        <w:t xml:space="preserve"> </w:t>
      </w:r>
      <w:r w:rsidR="006858ED">
        <w:t>Hewlett Packard</w:t>
      </w:r>
      <w:r w:rsidR="11FD0CDD">
        <w:t>,</w:t>
      </w:r>
      <w:r w:rsidR="006858ED">
        <w:t xml:space="preserve"> SUEZ recycling, Operating Theatre Live,</w:t>
      </w:r>
      <w:r w:rsidR="11FD0CDD">
        <w:t xml:space="preserve"> </w:t>
      </w:r>
      <w:r>
        <w:t>NHS, a range of universities, Social Mobility Foundation, etc.</w:t>
      </w:r>
    </w:p>
    <w:p w:rsidR="00D34F9E" w:rsidP="00F91321" w:rsidRDefault="00B4041C" w14:paraId="53234DA5" w14:textId="51DE0F22">
      <w:pPr>
        <w:pStyle w:val="ListParagraph"/>
        <w:numPr>
          <w:ilvl w:val="0"/>
          <w:numId w:val="7"/>
        </w:numPr>
      </w:pPr>
      <w:r>
        <w:t xml:space="preserve"> </w:t>
      </w:r>
      <w:r w:rsidR="006858ED">
        <w:t>Professional Growth Programme</w:t>
      </w:r>
      <w:r>
        <w:t xml:space="preserve"> </w:t>
      </w:r>
      <w:r w:rsidR="006858ED">
        <w:t>provides the opportunity for career exploration, understanding of LMI and development of key employability skills which are relevant to individual student’s career area of choice.  This is delivered as a hybrid of in-person employability sessions and online learning modules.</w:t>
      </w:r>
    </w:p>
    <w:p w:rsidR="0001625A" w:rsidP="00C3710D" w:rsidRDefault="00D34F9E" w14:paraId="3B113849" w14:textId="7777777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Personal statement 1:1 </w:t>
      </w:r>
      <w:proofErr w:type="gramStart"/>
      <w:r>
        <w:t>workshops</w:t>
      </w:r>
      <w:proofErr w:type="gramEnd"/>
      <w:r>
        <w:t xml:space="preserve"> offered by a range of HE professionals</w:t>
      </w:r>
      <w:r w:rsidR="00B4041C">
        <w:t>.</w:t>
      </w:r>
    </w:p>
    <w:p w:rsidR="0001625A" w:rsidP="00B4041C" w:rsidRDefault="0001625A" w14:paraId="5DAB6C7B" w14:textId="77777777">
      <w:pPr>
        <w:rPr>
          <w:b/>
          <w:sz w:val="24"/>
          <w:szCs w:val="24"/>
        </w:rPr>
      </w:pPr>
    </w:p>
    <w:p w:rsidRPr="00765522" w:rsidR="00B4041C" w:rsidP="00B4041C" w:rsidRDefault="00B4041C" w14:paraId="290B852F" w14:textId="77777777">
      <w:pPr>
        <w:rPr>
          <w:b/>
          <w:sz w:val="24"/>
          <w:szCs w:val="24"/>
        </w:rPr>
      </w:pPr>
      <w:r w:rsidRPr="00765522">
        <w:rPr>
          <w:b/>
          <w:sz w:val="24"/>
          <w:szCs w:val="24"/>
        </w:rPr>
        <w:t>Monitoring, Review and Evaluation of the CEIAG Policy</w:t>
      </w:r>
      <w:r w:rsidRPr="00765522" w:rsidR="00C86943">
        <w:rPr>
          <w:b/>
          <w:sz w:val="24"/>
          <w:szCs w:val="24"/>
        </w:rPr>
        <w:t xml:space="preserve"> </w:t>
      </w:r>
    </w:p>
    <w:p w:rsidR="00C86943" w:rsidP="00765522" w:rsidRDefault="00C86943" w14:paraId="41CB7866" w14:textId="77777777">
      <w:pPr>
        <w:pStyle w:val="ListParagraph"/>
        <w:numPr>
          <w:ilvl w:val="0"/>
          <w:numId w:val="8"/>
        </w:numPr>
      </w:pPr>
      <w:r>
        <w:t xml:space="preserve">Careers programme reviewed </w:t>
      </w:r>
      <w:r w:rsidR="00DC6525">
        <w:t xml:space="preserve">and updated </w:t>
      </w:r>
      <w:r>
        <w:t>annually</w:t>
      </w:r>
      <w:r w:rsidR="00DC6525">
        <w:t>.</w:t>
      </w:r>
    </w:p>
    <w:p w:rsidR="009771A9" w:rsidP="00765522" w:rsidRDefault="009771A9" w14:paraId="4C64A570" w14:textId="565DC4DB">
      <w:pPr>
        <w:pStyle w:val="ListParagraph"/>
        <w:numPr>
          <w:ilvl w:val="0"/>
          <w:numId w:val="8"/>
        </w:numPr>
      </w:pPr>
      <w:r>
        <w:t>Record</w:t>
      </w:r>
      <w:r w:rsidR="365AFB0B">
        <w:t>s kept to monitor</w:t>
      </w:r>
      <w:r>
        <w:t xml:space="preserve"> careers-related learning activities within departments</w:t>
      </w:r>
      <w:r w:rsidR="006858ED">
        <w:t>, using the Careers Tracker on DAVE.</w:t>
      </w:r>
    </w:p>
    <w:p w:rsidR="009771A9" w:rsidP="00765522" w:rsidRDefault="009771A9" w14:paraId="7F9F9D6F" w14:textId="79E844C5">
      <w:pPr>
        <w:pStyle w:val="ListParagraph"/>
        <w:numPr>
          <w:ilvl w:val="0"/>
          <w:numId w:val="8"/>
        </w:numPr>
      </w:pPr>
      <w:r>
        <w:t xml:space="preserve">Careers log </w:t>
      </w:r>
      <w:r w:rsidR="2DC3BD87">
        <w:t xml:space="preserve">keeps a </w:t>
      </w:r>
      <w:r>
        <w:t>record</w:t>
      </w:r>
      <w:r w:rsidR="62504F32">
        <w:t xml:space="preserve"> of</w:t>
      </w:r>
      <w:r>
        <w:t xml:space="preserve"> all careers guidance appointments</w:t>
      </w:r>
      <w:r w:rsidR="006858ED">
        <w:t xml:space="preserve"> and action plans recorded against students using the Careers tracker on DAVE.</w:t>
      </w:r>
    </w:p>
    <w:p w:rsidR="00B4041C" w:rsidP="00765522" w:rsidRDefault="009771A9" w14:paraId="57F518F7" w14:textId="235F6FD7">
      <w:pPr>
        <w:pStyle w:val="ListParagraph"/>
        <w:numPr>
          <w:ilvl w:val="0"/>
          <w:numId w:val="8"/>
        </w:numPr>
      </w:pPr>
      <w:r>
        <w:t>Student</w:t>
      </w:r>
      <w:r w:rsidR="006858ED">
        <w:t>, parent</w:t>
      </w:r>
      <w:r>
        <w:t xml:space="preserve"> and</w:t>
      </w:r>
      <w:r w:rsidR="006858ED">
        <w:t xml:space="preserve"> staff</w:t>
      </w:r>
      <w:r w:rsidR="00CB4CD9">
        <w:t xml:space="preserve"> feedback feeds into the </w:t>
      </w:r>
      <w:r w:rsidR="32380AC3">
        <w:t xml:space="preserve">development of the </w:t>
      </w:r>
      <w:r w:rsidR="00CB4CD9">
        <w:t>careers programme</w:t>
      </w:r>
      <w:r w:rsidR="00DC6525">
        <w:t>.</w:t>
      </w:r>
    </w:p>
    <w:p w:rsidR="00DD6CC0" w:rsidP="00765522" w:rsidRDefault="00CB4CD9" w14:paraId="00EEA8E3" w14:textId="77777777">
      <w:pPr>
        <w:pStyle w:val="ListParagraph"/>
        <w:numPr>
          <w:ilvl w:val="0"/>
          <w:numId w:val="8"/>
        </w:numPr>
      </w:pPr>
      <w:r>
        <w:t>Regular Compass assessment against the Gatsby benchmarks</w:t>
      </w:r>
      <w:r w:rsidR="00DC6525">
        <w:t>.</w:t>
      </w:r>
    </w:p>
    <w:p w:rsidR="00DD6CC0" w:rsidP="00765522" w:rsidRDefault="00DD6CC0" w14:paraId="3A34A10D" w14:textId="77777777">
      <w:pPr>
        <w:pStyle w:val="ListParagraph"/>
        <w:numPr>
          <w:ilvl w:val="0"/>
          <w:numId w:val="8"/>
        </w:numPr>
      </w:pPr>
      <w:r>
        <w:t>Careers r</w:t>
      </w:r>
      <w:r w:rsidR="00B4041C">
        <w:t>esources update</w:t>
      </w:r>
      <w:r>
        <w:t>d by the careers team</w:t>
      </w:r>
      <w:r w:rsidR="00DC6525">
        <w:t>.</w:t>
      </w:r>
    </w:p>
    <w:p w:rsidR="000F53A8" w:rsidP="1572EFF4" w:rsidRDefault="00DD6CC0" w14:paraId="02EB378F" w14:textId="44DBE840">
      <w:pPr>
        <w:pStyle w:val="ListParagraph"/>
        <w:numPr>
          <w:ilvl w:val="0"/>
          <w:numId w:val="8"/>
        </w:numPr>
      </w:pPr>
      <w:r>
        <w:t>P</w:t>
      </w:r>
      <w:r w:rsidR="00B4041C">
        <w:t>rogression data and NEETS will be reviewed annually and reported to</w:t>
      </w:r>
      <w:r>
        <w:t xml:space="preserve"> </w:t>
      </w:r>
      <w:r w:rsidR="00B4041C">
        <w:t>Governors.</w:t>
      </w:r>
    </w:p>
    <w:p w:rsidR="76E9A6D5" w:rsidP="1572EFF4" w:rsidRDefault="76E9A6D5" w14:paraId="420E37E6" w14:textId="40BC3068" w14:noSpellErr="1">
      <w:pPr>
        <w:pStyle w:val="ListParagraph"/>
        <w:numPr>
          <w:ilvl w:val="0"/>
          <w:numId w:val="8"/>
        </w:numPr>
        <w:rPr/>
      </w:pPr>
      <w:r w:rsidR="76E9A6D5">
        <w:rPr/>
        <w:t>Intended destination data informs content and delivery of careers programme for the upcoming academic year.</w:t>
      </w:r>
    </w:p>
    <w:p w:rsidR="4F5CEF82" w:rsidP="4F5CEF82" w:rsidRDefault="4F5CEF82" w14:paraId="3305C79B" w14:textId="79423451">
      <w:pPr>
        <w:pStyle w:val="Normal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215"/>
        <w:gridCol w:w="4380"/>
      </w:tblGrid>
      <w:tr w:rsidR="4F5CEF82" w:rsidTr="4F5CEF82" w14:paraId="17859885">
        <w:tc>
          <w:tcPr>
            <w:tcW w:w="4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66152A8C" w14:textId="5968BC3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Name of Policy</w:t>
            </w:r>
          </w:p>
        </w:tc>
        <w:tc>
          <w:tcPr>
            <w:tcW w:w="4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248B45" w:rsidP="4F5CEF82" w:rsidRDefault="72248B45" w14:noSpellErr="1" w14:paraId="27803B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4F5CEF82" w:rsidR="72248B45">
              <w:rPr>
                <w:b w:val="0"/>
                <w:bCs w:val="0"/>
                <w:sz w:val="24"/>
                <w:szCs w:val="24"/>
              </w:rPr>
              <w:t>Careers Education, Information, Advice and Guidance, (CEIAG) Policy</w:t>
            </w:r>
          </w:p>
          <w:p w:rsidR="4F5CEF82" w:rsidP="4F5CEF82" w:rsidRDefault="4F5CEF82" w14:paraId="61C3D985" w14:textId="13411A3E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F5CEF82" w:rsidTr="4F5CEF82" w14:paraId="0EF6C056">
        <w:tc>
          <w:tcPr>
            <w:tcW w:w="4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3EA23E3C" w14:textId="3AFF07F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Date Reviewed</w:t>
            </w:r>
          </w:p>
        </w:tc>
        <w:tc>
          <w:tcPr>
            <w:tcW w:w="4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3DF0DBCA" w14:textId="6D4605F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4F5CEF82" w:rsidR="5A0AD7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eptember</w:t>
            </w: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2022</w:t>
            </w:r>
          </w:p>
        </w:tc>
      </w:tr>
      <w:tr w:rsidR="4F5CEF82" w:rsidTr="4F5CEF82" w14:paraId="37A28D5E">
        <w:tc>
          <w:tcPr>
            <w:tcW w:w="4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049B50EC" w14:textId="4E86898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Next Review</w:t>
            </w:r>
          </w:p>
        </w:tc>
        <w:tc>
          <w:tcPr>
            <w:tcW w:w="4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12D7608A" w14:textId="6DDADD5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4F5CEF82" w:rsidR="1D8492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eptember</w:t>
            </w: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202</w:t>
            </w:r>
            <w:r w:rsidRPr="4F5CEF82" w:rsidR="5DFDC4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</w:p>
        </w:tc>
      </w:tr>
      <w:tr w:rsidR="4F5CEF82" w:rsidTr="4F5CEF82" w14:paraId="43D88CF5">
        <w:tc>
          <w:tcPr>
            <w:tcW w:w="4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69E64AE6" w14:textId="53BB2B9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JCC Consultation </w:t>
            </w:r>
          </w:p>
        </w:tc>
        <w:tc>
          <w:tcPr>
            <w:tcW w:w="4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65DA20F4" w14:textId="2348005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Not required</w:t>
            </w:r>
          </w:p>
        </w:tc>
      </w:tr>
      <w:tr w:rsidR="4F5CEF82" w:rsidTr="4F5CEF82" w14:paraId="65546F22">
        <w:tc>
          <w:tcPr>
            <w:tcW w:w="4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515A3BFD" w14:textId="1410059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Governing Corporation Approval</w:t>
            </w:r>
          </w:p>
        </w:tc>
        <w:tc>
          <w:tcPr>
            <w:tcW w:w="4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37C18646" w14:textId="537D4EC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Required</w:t>
            </w:r>
          </w:p>
        </w:tc>
      </w:tr>
      <w:tr w:rsidR="4F5CEF82" w:rsidTr="4F5CEF82" w14:paraId="6301D68B">
        <w:tc>
          <w:tcPr>
            <w:tcW w:w="42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301A3915" w14:textId="37C52D7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Cross Reference to other Policies / Source Documents</w:t>
            </w:r>
          </w:p>
        </w:tc>
        <w:tc>
          <w:tcPr>
            <w:tcW w:w="4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5CEF82" w:rsidP="4F5CEF82" w:rsidRDefault="4F5CEF82" w14:paraId="2AA61508" w14:textId="533FA679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Careers Policy</w:t>
            </w:r>
          </w:p>
          <w:p w:rsidR="4F5CEF82" w:rsidP="4F5CEF82" w:rsidRDefault="4F5CEF82" w14:paraId="0CF699EA" w14:textId="18ADEA02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 Acceptable Use Policy</w:t>
            </w:r>
          </w:p>
          <w:p w:rsidR="4F5CEF82" w:rsidP="4F5CEF82" w:rsidRDefault="4F5CEF82" w14:paraId="68263720" w14:textId="2FED759D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Code of Conduct</w:t>
            </w:r>
          </w:p>
          <w:p w:rsidR="4F5CEF82" w:rsidP="4F5CEF82" w:rsidRDefault="4F5CEF82" w14:paraId="56D47289" w14:textId="11E50333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Handbook</w:t>
            </w:r>
          </w:p>
          <w:p w:rsidR="4F5CEF82" w:rsidP="4F5CEF82" w:rsidRDefault="4F5CEF82" w14:paraId="0E6FC599" w14:textId="21B0BA97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Parents Handbook</w:t>
            </w:r>
          </w:p>
          <w:p w:rsidR="4F5CEF82" w:rsidP="4F5CEF82" w:rsidRDefault="4F5CEF82" w14:paraId="29FD4E8C" w14:textId="534ABD37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Contracts Policy </w:t>
            </w:r>
          </w:p>
          <w:p w:rsidR="4F5CEF82" w:rsidP="4F5CEF82" w:rsidRDefault="4F5CEF82" w14:paraId="4833DD86" w14:textId="18989925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Behaviour/ Expectations Policy</w:t>
            </w:r>
          </w:p>
          <w:p w:rsidR="4F5CEF82" w:rsidP="4F5CEF82" w:rsidRDefault="4F5CEF82" w14:paraId="6547D3CC" w14:textId="176DD7BC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Safeguarding/child protection policy</w:t>
            </w:r>
          </w:p>
          <w:p w:rsidR="4F5CEF82" w:rsidP="4F5CEF82" w:rsidRDefault="4F5CEF82" w14:paraId="147DC61A" w14:textId="753AD6DC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Baker Clause 2018</w:t>
            </w:r>
          </w:p>
          <w:p w:rsidR="4F5CEF82" w:rsidP="4F5CEF82" w:rsidRDefault="4F5CEF82" w14:paraId="4CF1404A" w14:textId="31C2BAD1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Education Act 2011</w:t>
            </w:r>
          </w:p>
          <w:p w:rsidR="4F5CEF82" w:rsidP="4F5CEF82" w:rsidRDefault="4F5CEF82" w14:paraId="68CF6EA2" w14:textId="79F80A82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F5CEF82" w:rsidR="4F5CEF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Skills and Post-16 Act 2022</w:t>
            </w:r>
          </w:p>
          <w:p w:rsidR="4F5CEF82" w:rsidP="4F5CEF82" w:rsidRDefault="4F5CEF82" w14:paraId="35E6D0E8" w14:textId="7AE7B3E1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0FCA2AB" w:rsidP="4F5CEF82" w:rsidRDefault="10FCA2AB" w14:paraId="38B5A4E1" w14:textId="680D053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d67255fcb930400f">
              <w:r w:rsidRPr="4F5CEF82" w:rsidR="10FCA2A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https://www.gov.uk/government/publications/careers-strategy-making-the-most-of-everyones-skills-and-talents</w:t>
              </w:r>
            </w:hyperlink>
          </w:p>
          <w:p w:rsidR="4F5CEF82" w:rsidP="4F5CEF82" w:rsidRDefault="4F5CEF82" w14:paraId="623A13E4" w14:textId="0ADB026C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F5CEF82" w:rsidP="4F5CEF82" w:rsidRDefault="4F5CEF82" w14:paraId="3B7BC794" w14:textId="1FB22317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="10FCA2AB" w:rsidP="4F5CEF82" w:rsidRDefault="10FCA2AB" w14:paraId="5DFF334F" w14:textId="3207B553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hyperlink r:id="R4a1d737e7b5e4b64">
              <w:r w:rsidRPr="4F5CEF82" w:rsidR="10FCA2A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https://www.gov.uk/government/publications/skills-for-jobs-lifelong-learning-for-opportunity-and-growth</w:t>
              </w:r>
            </w:hyperlink>
          </w:p>
          <w:p w:rsidR="4F5CEF82" w:rsidP="4F5CEF82" w:rsidRDefault="4F5CEF82" w14:paraId="03DCB6FB" w14:textId="5B5F8E1D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</w:p>
          <w:p w:rsidR="4F5CEF82" w:rsidP="4F5CEF82" w:rsidRDefault="4F5CEF82" w14:paraId="0CF008C9" w14:textId="3542C42A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</w:p>
          <w:p w:rsidR="4F5CEF82" w:rsidP="4F5CEF82" w:rsidRDefault="4F5CEF82" w14:paraId="0F98840A" w14:textId="3AD12D80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4F5CEF82" w:rsidP="4F5CEF82" w:rsidRDefault="4F5CEF82" w14:paraId="2ED1A9B4" w14:textId="2D230DDF">
      <w:pPr>
        <w:pStyle w:val="Normal"/>
      </w:pPr>
    </w:p>
    <w:sectPr w:rsidR="00FB0F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BEE"/>
    <w:multiLevelType w:val="hybridMultilevel"/>
    <w:tmpl w:val="4E1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0E1FAC"/>
    <w:multiLevelType w:val="hybridMultilevel"/>
    <w:tmpl w:val="B59C91C8"/>
    <w:lvl w:ilvl="0" w:tplc="08090013">
      <w:start w:val="1"/>
      <w:numFmt w:val="upperRoman"/>
      <w:lvlText w:val="%1."/>
      <w:lvlJc w:val="right"/>
      <w:pPr>
        <w:ind w:left="76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" w15:restartNumberingAfterBreak="0">
    <w:nsid w:val="2AA6509F"/>
    <w:multiLevelType w:val="hybridMultilevel"/>
    <w:tmpl w:val="547A3FCE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325A91"/>
    <w:multiLevelType w:val="hybridMultilevel"/>
    <w:tmpl w:val="DA6AA6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6112C5"/>
    <w:multiLevelType w:val="hybridMultilevel"/>
    <w:tmpl w:val="99C0D4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616B7A"/>
    <w:multiLevelType w:val="hybridMultilevel"/>
    <w:tmpl w:val="FA22A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2D7EA4"/>
    <w:multiLevelType w:val="hybridMultilevel"/>
    <w:tmpl w:val="48A68D6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436FBC"/>
    <w:multiLevelType w:val="hybridMultilevel"/>
    <w:tmpl w:val="99A03502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1C"/>
    <w:rsid w:val="00001FD6"/>
    <w:rsid w:val="00011A75"/>
    <w:rsid w:val="0001625A"/>
    <w:rsid w:val="00073962"/>
    <w:rsid w:val="000F53A8"/>
    <w:rsid w:val="00105E3B"/>
    <w:rsid w:val="001547D8"/>
    <w:rsid w:val="00161A89"/>
    <w:rsid w:val="00195605"/>
    <w:rsid w:val="00195C11"/>
    <w:rsid w:val="00204E30"/>
    <w:rsid w:val="003B38AB"/>
    <w:rsid w:val="00433E7D"/>
    <w:rsid w:val="00473368"/>
    <w:rsid w:val="00474960"/>
    <w:rsid w:val="00594BCA"/>
    <w:rsid w:val="006858ED"/>
    <w:rsid w:val="006D0F0B"/>
    <w:rsid w:val="007449E0"/>
    <w:rsid w:val="00765522"/>
    <w:rsid w:val="007674DC"/>
    <w:rsid w:val="007C66FD"/>
    <w:rsid w:val="008E2CD1"/>
    <w:rsid w:val="00924F88"/>
    <w:rsid w:val="009771A9"/>
    <w:rsid w:val="00986D10"/>
    <w:rsid w:val="00A565F0"/>
    <w:rsid w:val="00A964D0"/>
    <w:rsid w:val="00AB513B"/>
    <w:rsid w:val="00AF6DBD"/>
    <w:rsid w:val="00B4041C"/>
    <w:rsid w:val="00B72E5C"/>
    <w:rsid w:val="00B91345"/>
    <w:rsid w:val="00BA2B6A"/>
    <w:rsid w:val="00BD5749"/>
    <w:rsid w:val="00C04A84"/>
    <w:rsid w:val="00C341F4"/>
    <w:rsid w:val="00C86943"/>
    <w:rsid w:val="00CA6247"/>
    <w:rsid w:val="00CB4CD9"/>
    <w:rsid w:val="00D34F9E"/>
    <w:rsid w:val="00DC6525"/>
    <w:rsid w:val="00DD6CC0"/>
    <w:rsid w:val="00DF7526"/>
    <w:rsid w:val="00E803B8"/>
    <w:rsid w:val="00EF1F1E"/>
    <w:rsid w:val="00F32532"/>
    <w:rsid w:val="00F65DEF"/>
    <w:rsid w:val="00F91321"/>
    <w:rsid w:val="00F91609"/>
    <w:rsid w:val="00FB0FB3"/>
    <w:rsid w:val="00FC130C"/>
    <w:rsid w:val="00FC2A4C"/>
    <w:rsid w:val="00FF0264"/>
    <w:rsid w:val="01528158"/>
    <w:rsid w:val="01987B03"/>
    <w:rsid w:val="062A0B3F"/>
    <w:rsid w:val="0960D1D0"/>
    <w:rsid w:val="0A6DEBA7"/>
    <w:rsid w:val="1054A0FA"/>
    <w:rsid w:val="10D20BF9"/>
    <w:rsid w:val="10FCA2AB"/>
    <w:rsid w:val="11FD0CDD"/>
    <w:rsid w:val="1572EFF4"/>
    <w:rsid w:val="15DA9750"/>
    <w:rsid w:val="15FE4752"/>
    <w:rsid w:val="18DD02B3"/>
    <w:rsid w:val="1D530CB7"/>
    <w:rsid w:val="1D849254"/>
    <w:rsid w:val="2083EA54"/>
    <w:rsid w:val="20EC9079"/>
    <w:rsid w:val="2112CF65"/>
    <w:rsid w:val="21236E70"/>
    <w:rsid w:val="218590B8"/>
    <w:rsid w:val="245A6864"/>
    <w:rsid w:val="26DA037B"/>
    <w:rsid w:val="2875D3DC"/>
    <w:rsid w:val="28E2A43E"/>
    <w:rsid w:val="29CBFC6F"/>
    <w:rsid w:val="2ADA0D1F"/>
    <w:rsid w:val="2CD2EFD8"/>
    <w:rsid w:val="2D2C2231"/>
    <w:rsid w:val="2DC3BD87"/>
    <w:rsid w:val="2F4DBB85"/>
    <w:rsid w:val="30A16331"/>
    <w:rsid w:val="30E98BE6"/>
    <w:rsid w:val="32380AC3"/>
    <w:rsid w:val="3320934C"/>
    <w:rsid w:val="337F4672"/>
    <w:rsid w:val="34C4D960"/>
    <w:rsid w:val="36397BB5"/>
    <w:rsid w:val="365AFB0B"/>
    <w:rsid w:val="3794D6D3"/>
    <w:rsid w:val="3865B8BA"/>
    <w:rsid w:val="3B2C15E3"/>
    <w:rsid w:val="3B3F3DA4"/>
    <w:rsid w:val="3DBD565E"/>
    <w:rsid w:val="3DCFFC74"/>
    <w:rsid w:val="3F6292B4"/>
    <w:rsid w:val="419649FD"/>
    <w:rsid w:val="4338D975"/>
    <w:rsid w:val="4347ADFE"/>
    <w:rsid w:val="43CD6D46"/>
    <w:rsid w:val="43E7CBA3"/>
    <w:rsid w:val="44E2EAB0"/>
    <w:rsid w:val="4707D505"/>
    <w:rsid w:val="4719897D"/>
    <w:rsid w:val="4776DEBA"/>
    <w:rsid w:val="4959497B"/>
    <w:rsid w:val="4B522C34"/>
    <w:rsid w:val="4BE3B2C7"/>
    <w:rsid w:val="4D14AA24"/>
    <w:rsid w:val="4EACE1AB"/>
    <w:rsid w:val="4F5CEF82"/>
    <w:rsid w:val="4F7D8FE9"/>
    <w:rsid w:val="505DF78E"/>
    <w:rsid w:val="5341096B"/>
    <w:rsid w:val="535827AB"/>
    <w:rsid w:val="55ECD16D"/>
    <w:rsid w:val="583AFF49"/>
    <w:rsid w:val="590B49D2"/>
    <w:rsid w:val="5A0AD7FB"/>
    <w:rsid w:val="5A94F763"/>
    <w:rsid w:val="5AEF42E8"/>
    <w:rsid w:val="5B330AE7"/>
    <w:rsid w:val="5C42EA94"/>
    <w:rsid w:val="5CEAECB4"/>
    <w:rsid w:val="5DFDC4F6"/>
    <w:rsid w:val="5F77B6FC"/>
    <w:rsid w:val="62504F32"/>
    <w:rsid w:val="6328813F"/>
    <w:rsid w:val="640871AF"/>
    <w:rsid w:val="650684CF"/>
    <w:rsid w:val="658AF665"/>
    <w:rsid w:val="67B5626C"/>
    <w:rsid w:val="687CBEE5"/>
    <w:rsid w:val="689896F8"/>
    <w:rsid w:val="6E1517B6"/>
    <w:rsid w:val="70CB4D53"/>
    <w:rsid w:val="71636D5F"/>
    <w:rsid w:val="72248B45"/>
    <w:rsid w:val="735F007D"/>
    <w:rsid w:val="736A64B0"/>
    <w:rsid w:val="73EE96D2"/>
    <w:rsid w:val="74AA6997"/>
    <w:rsid w:val="74FAD0DE"/>
    <w:rsid w:val="74FAD0DE"/>
    <w:rsid w:val="754B0915"/>
    <w:rsid w:val="76E9A6D5"/>
    <w:rsid w:val="78765B9B"/>
    <w:rsid w:val="79C2C1FA"/>
    <w:rsid w:val="79E7F1B2"/>
    <w:rsid w:val="7BB5FF41"/>
    <w:rsid w:val="7D5FFC59"/>
    <w:rsid w:val="7DA5F353"/>
    <w:rsid w:val="7EC0648A"/>
    <w:rsid w:val="7F3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4080"/>
  <w15:chartTrackingRefBased/>
  <w15:docId w15:val="{000D88E6-4701-479E-B7DB-97E7C762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368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https://www.gov.uk/government/publications/careers-strategy-making-the-most-of-everyones-skills-and-talents" TargetMode="External" Id="Rd67255fcb930400f" /><Relationship Type="http://schemas.openxmlformats.org/officeDocument/2006/relationships/hyperlink" Target="https://www.gov.uk/government/publications/skills-for-jobs-lifelong-learning-for-opportunity-and-growth" TargetMode="External" Id="R4a1d737e7b5e4b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 Whitham</dc:creator>
  <keywords/>
  <dc:description/>
  <lastModifiedBy>Jill Whitham</lastModifiedBy>
  <revision>3</revision>
  <dcterms:created xsi:type="dcterms:W3CDTF">2022-07-08T10:28:00.0000000Z</dcterms:created>
  <dcterms:modified xsi:type="dcterms:W3CDTF">2022-10-07T13:19:12.8562623Z</dcterms:modified>
</coreProperties>
</file>